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2213" w14:textId="77777777" w:rsidR="00305AF2" w:rsidRPr="00D7302F" w:rsidRDefault="00A57A38">
      <w:pPr>
        <w:rPr>
          <w:rFonts w:ascii="Arial" w:hAnsi="Arial" w:cs="Arial"/>
          <w:sz w:val="20"/>
          <w:szCs w:val="20"/>
        </w:rPr>
      </w:pPr>
      <w:r w:rsidRPr="00D7302F">
        <w:rPr>
          <w:rFonts w:ascii="Arial" w:hAnsi="Arial" w:cs="Arial"/>
          <w:noProof/>
          <w:sz w:val="20"/>
          <w:szCs w:val="20"/>
          <w:lang w:eastAsia="es-CO"/>
        </w:rPr>
        <w:drawing>
          <wp:inline distT="0" distB="0" distL="0" distR="0" wp14:anchorId="6889F476" wp14:editId="0F7452A0">
            <wp:extent cx="2219325" cy="519214"/>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19325" cy="519214"/>
                    </a:xfrm>
                    <a:prstGeom prst="rect">
                      <a:avLst/>
                    </a:prstGeom>
                  </pic:spPr>
                </pic:pic>
              </a:graphicData>
            </a:graphic>
          </wp:inline>
        </w:drawing>
      </w:r>
    </w:p>
    <w:p w14:paraId="4AAC35B2" w14:textId="1029FB8E" w:rsidR="00A57A38" w:rsidRPr="00D7302F" w:rsidRDefault="00A57A38" w:rsidP="00A57A38">
      <w:pPr>
        <w:jc w:val="center"/>
        <w:rPr>
          <w:rFonts w:ascii="Arial" w:hAnsi="Arial" w:cs="Arial"/>
          <w:b/>
          <w:sz w:val="20"/>
          <w:szCs w:val="20"/>
        </w:rPr>
      </w:pPr>
      <w:r w:rsidRPr="00D7302F">
        <w:rPr>
          <w:rFonts w:ascii="Arial" w:hAnsi="Arial" w:cs="Arial"/>
          <w:b/>
          <w:sz w:val="20"/>
          <w:szCs w:val="20"/>
        </w:rPr>
        <w:t>Formato de Requerimientos técnicos de referencia para la contratación de bienes y servicios</w:t>
      </w:r>
    </w:p>
    <w:p w14:paraId="4B94D8E3" w14:textId="77777777" w:rsidR="00A57A38" w:rsidRPr="00D7302F" w:rsidRDefault="00A57A38">
      <w:pPr>
        <w:rPr>
          <w:rFonts w:ascii="Arial" w:hAnsi="Arial" w:cs="Arial"/>
          <w:sz w:val="20"/>
          <w:szCs w:val="20"/>
        </w:rPr>
      </w:pPr>
    </w:p>
    <w:tbl>
      <w:tblPr>
        <w:tblW w:w="4990" w:type="pct"/>
        <w:tblLayout w:type="fixed"/>
        <w:tblCellMar>
          <w:left w:w="70" w:type="dxa"/>
          <w:right w:w="70" w:type="dxa"/>
        </w:tblCellMar>
        <w:tblLook w:val="04A0" w:firstRow="1" w:lastRow="0" w:firstColumn="1" w:lastColumn="0" w:noHBand="0" w:noVBand="1"/>
      </w:tblPr>
      <w:tblGrid>
        <w:gridCol w:w="2105"/>
        <w:gridCol w:w="6687"/>
      </w:tblGrid>
      <w:tr w:rsidR="00A57A38" w:rsidRPr="00D7302F" w14:paraId="046D982A" w14:textId="77777777" w:rsidTr="00607F80">
        <w:trPr>
          <w:trHeight w:val="570"/>
        </w:trPr>
        <w:tc>
          <w:tcPr>
            <w:tcW w:w="1197" w:type="pct"/>
            <w:tcBorders>
              <w:top w:val="double" w:sz="6" w:space="0" w:color="auto"/>
              <w:left w:val="double" w:sz="6" w:space="0" w:color="auto"/>
              <w:bottom w:val="single" w:sz="4" w:space="0" w:color="auto"/>
              <w:right w:val="nil"/>
            </w:tcBorders>
            <w:shd w:val="clear" w:color="auto" w:fill="auto"/>
            <w:vAlign w:val="center"/>
            <w:hideMark/>
          </w:tcPr>
          <w:p w14:paraId="28515389"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Instancia encargada del levantamiento de requerimientos</w:t>
            </w:r>
          </w:p>
        </w:tc>
        <w:tc>
          <w:tcPr>
            <w:tcW w:w="38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FE64CB" w14:textId="0AB3B39F" w:rsidR="00A57A38" w:rsidRPr="00D7302F" w:rsidRDefault="00BE2F3A" w:rsidP="00A57A38">
            <w:pPr>
              <w:spacing w:after="0" w:line="240" w:lineRule="auto"/>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Subdirección de Estándares y A</w:t>
            </w:r>
            <w:r w:rsidR="006C4B45" w:rsidRPr="00D7302F">
              <w:rPr>
                <w:rFonts w:ascii="Arial" w:eastAsia="Times New Roman" w:hAnsi="Arial" w:cs="Arial"/>
                <w:b/>
                <w:bCs/>
                <w:color w:val="000000"/>
                <w:sz w:val="20"/>
                <w:szCs w:val="20"/>
                <w:lang w:eastAsia="es-CO"/>
              </w:rPr>
              <w:t>rquitectura</w:t>
            </w:r>
            <w:r w:rsidR="00A57A38" w:rsidRPr="00D7302F">
              <w:rPr>
                <w:rFonts w:ascii="Arial" w:eastAsia="Times New Roman" w:hAnsi="Arial" w:cs="Arial"/>
                <w:b/>
                <w:bCs/>
                <w:color w:val="000000"/>
                <w:sz w:val="20"/>
                <w:szCs w:val="20"/>
                <w:lang w:eastAsia="es-CO"/>
              </w:rPr>
              <w:t> </w:t>
            </w:r>
            <w:r>
              <w:rPr>
                <w:rFonts w:ascii="Arial" w:eastAsia="Times New Roman" w:hAnsi="Arial" w:cs="Arial"/>
                <w:b/>
                <w:bCs/>
                <w:color w:val="000000"/>
                <w:sz w:val="20"/>
                <w:szCs w:val="20"/>
                <w:lang w:eastAsia="es-CO"/>
              </w:rPr>
              <w:t xml:space="preserve">- </w:t>
            </w:r>
            <w:r w:rsidRPr="0039375D">
              <w:rPr>
                <w:rFonts w:ascii="Arial" w:eastAsia="Times New Roman" w:hAnsi="Arial" w:cs="Arial"/>
                <w:b/>
                <w:bCs/>
                <w:sz w:val="20"/>
                <w:szCs w:val="20"/>
                <w:lang w:eastAsia="es-CO"/>
              </w:rPr>
              <w:t>Grupo de Seguridad y Privacidad TI – CSIRT Gobierno</w:t>
            </w:r>
            <w:r>
              <w:rPr>
                <w:rStyle w:val="eop"/>
                <w:rFonts w:ascii="Calibri" w:hAnsi="Calibri" w:cs="Calibri"/>
                <w:color w:val="000000"/>
                <w:shd w:val="clear" w:color="auto" w:fill="FFFFFF"/>
              </w:rPr>
              <w:t> </w:t>
            </w:r>
          </w:p>
        </w:tc>
      </w:tr>
      <w:tr w:rsidR="00A57A38" w:rsidRPr="00D7302F" w14:paraId="666FCFE3" w14:textId="77777777" w:rsidTr="00607F80">
        <w:trPr>
          <w:trHeight w:val="6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7B73439E"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Justificación de la necesidad</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5111D7FA" w14:textId="339180A9" w:rsidR="00BE2F3A" w:rsidRDefault="00BE2F3A" w:rsidP="00BE2F3A">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Apoyando la implementación y consolidación de la Política de Gobierno Digital y coadyuvando al cumpliendo el objetivo de la misma el cual promueve el uso y aprovechamiento de las tecnologías de la información y las comunicaciones para la consolidación del Estado y de ciudadanos competitivos, proactivos, e innovadores, que generen valor público en un entorno de confianza digital.</w:t>
            </w:r>
            <w:r>
              <w:rPr>
                <w:rStyle w:val="eop"/>
                <w:rFonts w:ascii="Calibri" w:hAnsi="Calibri" w:cs="Calibri"/>
                <w:sz w:val="22"/>
                <w:szCs w:val="22"/>
              </w:rPr>
              <w:t> </w:t>
            </w:r>
          </w:p>
          <w:p w14:paraId="5DC2B5EE" w14:textId="77777777" w:rsidR="0039375D" w:rsidRDefault="0039375D" w:rsidP="00BE2F3A">
            <w:pPr>
              <w:pStyle w:val="paragraph"/>
              <w:spacing w:before="0" w:beforeAutospacing="0" w:after="0" w:afterAutospacing="0"/>
              <w:jc w:val="both"/>
              <w:textAlignment w:val="baseline"/>
              <w:rPr>
                <w:rFonts w:ascii="Segoe UI" w:hAnsi="Segoe UI" w:cs="Segoe UI"/>
                <w:sz w:val="18"/>
                <w:szCs w:val="18"/>
              </w:rPr>
            </w:pPr>
          </w:p>
          <w:p w14:paraId="3497654B" w14:textId="7C353A07" w:rsidR="00BE2F3A" w:rsidRDefault="0039375D" w:rsidP="00BE2F3A">
            <w:pPr>
              <w:pStyle w:val="paragraph"/>
              <w:spacing w:before="0" w:beforeAutospacing="0" w:after="0" w:afterAutospacing="0"/>
              <w:jc w:val="both"/>
              <w:textAlignment w:val="baseline"/>
              <w:rPr>
                <w:rFonts w:ascii="Arial" w:hAnsi="Arial" w:cs="Arial"/>
                <w:color w:val="000000" w:themeColor="text1"/>
                <w:sz w:val="20"/>
                <w:szCs w:val="20"/>
              </w:rPr>
            </w:pPr>
            <w:r w:rsidRPr="0039375D">
              <w:rPr>
                <w:rStyle w:val="normaltextrun"/>
                <w:rFonts w:ascii="Calibri" w:hAnsi="Calibri" w:cs="Calibri"/>
                <w:sz w:val="22"/>
                <w:szCs w:val="22"/>
              </w:rPr>
              <w:t>El valor público se relaciona con el desarrollo social, la gobernanza, la garantía de derechos, la satisfacción de necesidades y la prestación de servicios de calidad. No sólo es hacer uso de las tecnologías, sino cómo las tecnologías ayudan a resolver problemas reales</w:t>
            </w:r>
            <w:r>
              <w:rPr>
                <w:rStyle w:val="normaltextrun"/>
                <w:rFonts w:ascii="Calibri" w:hAnsi="Calibri" w:cs="Calibri"/>
                <w:sz w:val="22"/>
                <w:szCs w:val="22"/>
              </w:rPr>
              <w:t xml:space="preserve">, igualmente </w:t>
            </w:r>
            <w:r w:rsidRPr="0039375D">
              <w:rPr>
                <w:rStyle w:val="normaltextrun"/>
                <w:rFonts w:ascii="Calibri" w:hAnsi="Calibri" w:cs="Calibri"/>
                <w:sz w:val="22"/>
                <w:szCs w:val="22"/>
              </w:rPr>
              <w:t>es lograr que el Estado llegue a donde no llega el mercado, y posibilitar la creación de nuevos mercados.</w:t>
            </w:r>
          </w:p>
          <w:p w14:paraId="11CA5377" w14:textId="77777777" w:rsidR="0039375D" w:rsidRDefault="0039375D" w:rsidP="00BE2F3A">
            <w:pPr>
              <w:pStyle w:val="paragraph"/>
              <w:spacing w:before="0" w:beforeAutospacing="0" w:after="0" w:afterAutospacing="0"/>
              <w:jc w:val="both"/>
              <w:textAlignment w:val="baseline"/>
              <w:rPr>
                <w:rFonts w:ascii="Segoe UI" w:hAnsi="Segoe UI" w:cs="Segoe UI"/>
                <w:sz w:val="18"/>
                <w:szCs w:val="18"/>
              </w:rPr>
            </w:pPr>
          </w:p>
          <w:p w14:paraId="2F15AF0F" w14:textId="66ADE650" w:rsidR="00BE2F3A" w:rsidRDefault="0039375D" w:rsidP="00BE2F3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 xml:space="preserve">En la actualidad </w:t>
            </w:r>
            <w:r w:rsidR="00BE2F3A">
              <w:rPr>
                <w:rStyle w:val="normaltextrun"/>
                <w:rFonts w:ascii="Calibri" w:hAnsi="Calibri" w:cs="Calibri"/>
                <w:color w:val="000000"/>
                <w:sz w:val="22"/>
                <w:szCs w:val="22"/>
                <w:shd w:val="clear" w:color="auto" w:fill="FFFFFF"/>
              </w:rPr>
              <w:t>se encuentra vigente el Convenio Interadministrativo No 782 de 2018 entre el Ministerio de Tecnologías de la Información y las Comunicaciones y la Policía Nacional, el cual enmarca los esfuerzos técnicos y administrativos para el desarrollo de actividades de acompañamiento y fortalecimiento de la operación del CSIRT de Gobierno el cual empezó su operación en octubre de 2017, recibiendo del CSIRT PONAL el apoyo humano, técnico y de transferencia de conocimiento para el uso de las herramientas tecnológicas para realizar las actividades de análisis, seguimiento y gestión de la infraestructura Tl de las entidades del Estado de nivel nacional y territorial.</w:t>
            </w:r>
            <w:r w:rsidR="00BE2F3A">
              <w:rPr>
                <w:rStyle w:val="eop"/>
                <w:rFonts w:ascii="Calibri" w:hAnsi="Calibri" w:cs="Calibri"/>
                <w:sz w:val="22"/>
                <w:szCs w:val="22"/>
              </w:rPr>
              <w:t> </w:t>
            </w:r>
          </w:p>
          <w:p w14:paraId="6DE9B0DB" w14:textId="63924C3A" w:rsidR="00BE2F3A" w:rsidRDefault="00BE2F3A" w:rsidP="00BE2F3A">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7E833179" w14:textId="5BB76CE5" w:rsidR="004F2A50" w:rsidRPr="004F2A50" w:rsidRDefault="004F2A50" w:rsidP="00BE2F3A">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rPr>
            </w:pPr>
            <w:r w:rsidRPr="004F2A50">
              <w:rPr>
                <w:rStyle w:val="normaltextrun"/>
                <w:rFonts w:ascii="Calibri" w:hAnsi="Calibri" w:cs="Calibri"/>
                <w:color w:val="000000"/>
                <w:sz w:val="22"/>
                <w:szCs w:val="22"/>
                <w:shd w:val="clear" w:color="auto" w:fill="FFFFFF"/>
              </w:rPr>
              <w:t xml:space="preserve">Con la puesta en funcionamiento del CSIRT Gobierno en las instalaciones del Centro de Capacidades para la Ciberseguridad de Colombia, C4 en agosto de 2018, </w:t>
            </w:r>
            <w:r>
              <w:rPr>
                <w:rStyle w:val="normaltextrun"/>
                <w:rFonts w:ascii="Calibri" w:hAnsi="Calibri" w:cs="Calibri"/>
                <w:color w:val="000000"/>
                <w:sz w:val="22"/>
                <w:szCs w:val="22"/>
                <w:shd w:val="clear" w:color="auto" w:fill="FFFFFF"/>
              </w:rPr>
              <w:t>ofreciendo</w:t>
            </w:r>
            <w:r w:rsidRPr="004F2A50">
              <w:rPr>
                <w:rStyle w:val="normaltextrun"/>
                <w:rFonts w:ascii="Calibri" w:hAnsi="Calibri" w:cs="Calibri"/>
                <w:color w:val="000000"/>
                <w:sz w:val="22"/>
                <w:szCs w:val="22"/>
                <w:shd w:val="clear" w:color="auto" w:fill="FFFFFF"/>
              </w:rPr>
              <w:t xml:space="preserve"> servicios proactivos, reactivos y de Gestión de la Seguridad</w:t>
            </w:r>
            <w:r w:rsidR="00114204">
              <w:rPr>
                <w:rStyle w:val="normaltextrun"/>
                <w:rFonts w:ascii="Calibri" w:hAnsi="Calibri" w:cs="Calibri"/>
                <w:color w:val="000000"/>
                <w:sz w:val="22"/>
                <w:szCs w:val="22"/>
                <w:shd w:val="clear" w:color="auto" w:fill="FFFFFF"/>
              </w:rPr>
              <w:t xml:space="preserve"> </w:t>
            </w:r>
            <w:r w:rsidR="00DE1075">
              <w:rPr>
                <w:rStyle w:val="normaltextrun"/>
                <w:rFonts w:ascii="Calibri" w:hAnsi="Calibri" w:cs="Calibri"/>
                <w:color w:val="000000"/>
                <w:sz w:val="22"/>
                <w:szCs w:val="22"/>
                <w:shd w:val="clear" w:color="auto" w:fill="FFFFFF"/>
              </w:rPr>
              <w:t>básicos</w:t>
            </w:r>
            <w:r w:rsidRPr="004F2A50">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ya para </w:t>
            </w:r>
            <w:r w:rsidRPr="004F2A50">
              <w:rPr>
                <w:rStyle w:val="normaltextrun"/>
                <w:rFonts w:ascii="Calibri" w:hAnsi="Calibri" w:cs="Calibri"/>
                <w:color w:val="000000"/>
                <w:sz w:val="22"/>
                <w:szCs w:val="22"/>
                <w:shd w:val="clear" w:color="auto" w:fill="FFFFFF"/>
              </w:rPr>
              <w:t xml:space="preserve">el primer semestre de 2019, se </w:t>
            </w:r>
            <w:proofErr w:type="spellStart"/>
            <w:r w:rsidRPr="004F2A50">
              <w:rPr>
                <w:rStyle w:val="normaltextrun"/>
                <w:rFonts w:ascii="Calibri" w:hAnsi="Calibri" w:cs="Calibri"/>
                <w:color w:val="000000"/>
                <w:sz w:val="22"/>
                <w:szCs w:val="22"/>
                <w:shd w:val="clear" w:color="auto" w:fill="FFFFFF"/>
              </w:rPr>
              <w:t>amplia</w:t>
            </w:r>
            <w:proofErr w:type="spellEnd"/>
            <w:r w:rsidRPr="004F2A50">
              <w:rPr>
                <w:rStyle w:val="normaltextrun"/>
                <w:rFonts w:ascii="Calibri" w:hAnsi="Calibri" w:cs="Calibri"/>
                <w:color w:val="000000"/>
                <w:sz w:val="22"/>
                <w:szCs w:val="22"/>
                <w:shd w:val="clear" w:color="auto" w:fill="FFFFFF"/>
              </w:rPr>
              <w:t xml:space="preserve"> el portafolio de servicios</w:t>
            </w:r>
            <w:r w:rsidR="00114204">
              <w:rPr>
                <w:rStyle w:val="normaltextrun"/>
                <w:rFonts w:ascii="Calibri" w:hAnsi="Calibri" w:cs="Calibri"/>
                <w:color w:val="000000"/>
                <w:sz w:val="22"/>
                <w:szCs w:val="22"/>
                <w:shd w:val="clear" w:color="auto" w:fill="FFFFFF"/>
              </w:rPr>
              <w:t xml:space="preserve"> </w:t>
            </w:r>
            <w:r w:rsidR="00DE1075">
              <w:rPr>
                <w:rStyle w:val="normaltextrun"/>
                <w:rFonts w:ascii="Calibri" w:hAnsi="Calibri" w:cs="Calibri"/>
                <w:color w:val="000000"/>
                <w:sz w:val="22"/>
                <w:szCs w:val="22"/>
                <w:shd w:val="clear" w:color="auto" w:fill="FFFFFF"/>
              </w:rPr>
              <w:t>básicos</w:t>
            </w:r>
            <w:r w:rsidRPr="004F2A50">
              <w:rPr>
                <w:rStyle w:val="normaltextrun"/>
                <w:rFonts w:ascii="Calibri" w:hAnsi="Calibri" w:cs="Calibri"/>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teniendo en cuenta </w:t>
            </w:r>
            <w:r w:rsidRPr="004F2A50">
              <w:rPr>
                <w:rStyle w:val="normaltextrun"/>
                <w:rFonts w:ascii="Calibri" w:hAnsi="Calibri" w:cs="Calibri"/>
                <w:color w:val="000000"/>
                <w:sz w:val="22"/>
                <w:szCs w:val="22"/>
                <w:shd w:val="clear" w:color="auto" w:fill="FFFFFF"/>
              </w:rPr>
              <w:t>la consecución de nuevas herramientas de seguridad</w:t>
            </w:r>
            <w:r>
              <w:rPr>
                <w:rStyle w:val="normaltextrun"/>
                <w:rFonts w:ascii="Calibri" w:hAnsi="Calibri" w:cs="Calibri"/>
                <w:color w:val="000000"/>
                <w:sz w:val="22"/>
                <w:szCs w:val="22"/>
                <w:shd w:val="clear" w:color="auto" w:fill="FFFFFF"/>
              </w:rPr>
              <w:t xml:space="preserve"> que permiten ampliar</w:t>
            </w:r>
            <w:r w:rsidRPr="004F2A50">
              <w:rPr>
                <w:rStyle w:val="normaltextrun"/>
                <w:rFonts w:ascii="Calibri" w:hAnsi="Calibri" w:cs="Calibri"/>
                <w:color w:val="000000"/>
                <w:sz w:val="22"/>
                <w:szCs w:val="22"/>
                <w:shd w:val="clear" w:color="auto" w:fill="FFFFFF"/>
              </w:rPr>
              <w:t xml:space="preserve"> las capacidades del CSIRT Gobierno.  </w:t>
            </w:r>
          </w:p>
          <w:p w14:paraId="48E62B98" w14:textId="77777777" w:rsidR="004F2A50" w:rsidRDefault="004F2A50" w:rsidP="00BE2F3A">
            <w:pPr>
              <w:pStyle w:val="paragraph"/>
              <w:spacing w:before="0" w:beforeAutospacing="0" w:after="0" w:afterAutospacing="0"/>
              <w:jc w:val="both"/>
              <w:textAlignment w:val="baseline"/>
              <w:rPr>
                <w:rFonts w:ascii="Segoe UI" w:hAnsi="Segoe UI" w:cs="Segoe UI"/>
                <w:sz w:val="18"/>
                <w:szCs w:val="18"/>
              </w:rPr>
            </w:pPr>
          </w:p>
          <w:p w14:paraId="478C9096" w14:textId="71329F4F" w:rsidR="00114204" w:rsidRDefault="00BE2F3A" w:rsidP="00BE2F3A">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Teniendo en cuenta lo anterior, se requiere </w:t>
            </w:r>
            <w:r w:rsidR="00883100">
              <w:rPr>
                <w:rStyle w:val="normaltextrun"/>
                <w:rFonts w:ascii="Calibri" w:hAnsi="Calibri" w:cs="Calibri"/>
                <w:color w:val="000000"/>
                <w:sz w:val="22"/>
                <w:szCs w:val="22"/>
              </w:rPr>
              <w:t>adquirir</w:t>
            </w:r>
            <w:r w:rsidR="00114204">
              <w:rPr>
                <w:rStyle w:val="normaltextrun"/>
                <w:rFonts w:ascii="Calibri" w:hAnsi="Calibri" w:cs="Calibri"/>
                <w:color w:val="000000"/>
                <w:sz w:val="22"/>
                <w:szCs w:val="22"/>
              </w:rPr>
              <w:t xml:space="preserve"> solución tecnológica-software y Hardware que permitan gestionar los diferentes requerimientos de incidentes de las Entidades del Estado y establecer cuando un portal o un servicio ciudadano se encuentra indisponible.</w:t>
            </w:r>
          </w:p>
          <w:p w14:paraId="46874D86" w14:textId="77777777" w:rsidR="00114204" w:rsidRDefault="00114204" w:rsidP="00BE2F3A">
            <w:pPr>
              <w:pStyle w:val="paragraph"/>
              <w:spacing w:before="0" w:beforeAutospacing="0" w:after="0" w:afterAutospacing="0"/>
              <w:jc w:val="both"/>
              <w:textAlignment w:val="baseline"/>
              <w:rPr>
                <w:rStyle w:val="normaltextrun"/>
                <w:rFonts w:ascii="Calibri" w:hAnsi="Calibri" w:cs="Calibri"/>
                <w:color w:val="000000"/>
                <w:sz w:val="22"/>
                <w:szCs w:val="22"/>
              </w:rPr>
            </w:pPr>
          </w:p>
          <w:p w14:paraId="17655FA9" w14:textId="779C73F9" w:rsidR="00114204" w:rsidRDefault="00114204" w:rsidP="00BE2F3A">
            <w:pPr>
              <w:pStyle w:val="paragraph"/>
              <w:spacing w:before="0" w:beforeAutospacing="0" w:after="0" w:afterAutospacing="0"/>
              <w:jc w:val="both"/>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lastRenderedPageBreak/>
              <w:t xml:space="preserve">Para la gestión de requerimientos – Tickets, se requeriría un software de mesa de ayuda </w:t>
            </w:r>
            <w:r w:rsidRPr="00114204">
              <w:rPr>
                <w:rStyle w:val="normaltextrun"/>
                <w:rFonts w:ascii="Calibri" w:hAnsi="Calibri" w:cs="Calibri"/>
                <w:color w:val="000000"/>
                <w:sz w:val="22"/>
                <w:szCs w:val="22"/>
              </w:rPr>
              <w:t>ON </w:t>
            </w:r>
            <w:proofErr w:type="spellStart"/>
            <w:r w:rsidRPr="00114204">
              <w:rPr>
                <w:rStyle w:val="normaltextrun"/>
                <w:rFonts w:ascii="Calibri" w:hAnsi="Calibri" w:cs="Calibri"/>
                <w:color w:val="000000"/>
                <w:sz w:val="22"/>
                <w:szCs w:val="22"/>
              </w:rPr>
              <w:t>Premise</w:t>
            </w:r>
            <w:proofErr w:type="spellEnd"/>
            <w:r>
              <w:rPr>
                <w:rStyle w:val="normaltextrun"/>
                <w:rFonts w:ascii="Calibri" w:hAnsi="Calibri" w:cs="Calibri"/>
                <w:color w:val="000000"/>
                <w:sz w:val="22"/>
                <w:szCs w:val="22"/>
              </w:rPr>
              <w:t xml:space="preserve"> que </w:t>
            </w:r>
            <w:r w:rsidR="00D551F8">
              <w:rPr>
                <w:rStyle w:val="normaltextrun"/>
                <w:rFonts w:ascii="Calibri" w:hAnsi="Calibri" w:cs="Calibri"/>
                <w:color w:val="000000"/>
                <w:sz w:val="22"/>
                <w:szCs w:val="22"/>
              </w:rPr>
              <w:t>pueda ser configurable a</w:t>
            </w:r>
            <w:r>
              <w:rPr>
                <w:rStyle w:val="normaltextrun"/>
                <w:rFonts w:ascii="Calibri" w:hAnsi="Calibri" w:cs="Calibri"/>
                <w:color w:val="000000"/>
                <w:sz w:val="22"/>
                <w:szCs w:val="22"/>
              </w:rPr>
              <w:t xml:space="preserve"> las necesidades propias del CSIRT Gobierno</w:t>
            </w:r>
            <w:r w:rsidR="00D551F8">
              <w:rPr>
                <w:rStyle w:val="normaltextrun"/>
                <w:rFonts w:ascii="Calibri" w:hAnsi="Calibri" w:cs="Calibri"/>
                <w:color w:val="000000"/>
                <w:sz w:val="22"/>
                <w:szCs w:val="22"/>
              </w:rPr>
              <w:t xml:space="preserve"> para la gestión de incidentes, esta solución servirá</w:t>
            </w:r>
            <w:r>
              <w:rPr>
                <w:rStyle w:val="normaltextrun"/>
                <w:rFonts w:ascii="Calibri" w:hAnsi="Calibri" w:cs="Calibri"/>
                <w:color w:val="000000"/>
                <w:sz w:val="22"/>
                <w:szCs w:val="22"/>
              </w:rPr>
              <w:t xml:space="preserve"> como punto único de contacto entre las entidades del orden nacional y territorial y el CSIRT Gobierno, con el fin de responder de manera oportuna, eficiente y con calidad las solicitudes (Ticket) de acompañamiento y tratamiento de incidentes cibernéticos.</w:t>
            </w:r>
            <w:r>
              <w:rPr>
                <w:rStyle w:val="eop"/>
                <w:rFonts w:ascii="Calibri" w:hAnsi="Calibri" w:cs="Calibri"/>
                <w:sz w:val="22"/>
                <w:szCs w:val="22"/>
              </w:rPr>
              <w:t> </w:t>
            </w:r>
          </w:p>
          <w:p w14:paraId="6C4677D3" w14:textId="624BC305" w:rsidR="00EC7CC3" w:rsidRPr="00D7302F" w:rsidRDefault="00EC7CC3" w:rsidP="00D551F8">
            <w:pPr>
              <w:pStyle w:val="paragraph"/>
              <w:spacing w:before="0" w:beforeAutospacing="0" w:after="0" w:afterAutospacing="0"/>
              <w:jc w:val="both"/>
              <w:textAlignment w:val="baseline"/>
              <w:rPr>
                <w:rFonts w:ascii="Arial" w:hAnsi="Arial" w:cs="Arial"/>
                <w:color w:val="000000" w:themeColor="text1"/>
                <w:sz w:val="20"/>
                <w:szCs w:val="20"/>
              </w:rPr>
            </w:pPr>
          </w:p>
        </w:tc>
      </w:tr>
      <w:tr w:rsidR="00A57A38" w:rsidRPr="00D7302F" w14:paraId="31F7BDB1" w14:textId="77777777" w:rsidTr="00607F80">
        <w:trPr>
          <w:trHeight w:val="87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6A872994" w14:textId="6A810161"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lastRenderedPageBreak/>
              <w:t>Objetivo general del requerimiento técnico</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5E53051B" w14:textId="37EDB086" w:rsidR="0039375D" w:rsidRPr="00D7302F" w:rsidRDefault="00E83AE2" w:rsidP="00883100">
            <w:pPr>
              <w:spacing w:after="0" w:line="240" w:lineRule="auto"/>
              <w:jc w:val="both"/>
              <w:rPr>
                <w:rFonts w:ascii="Arial" w:eastAsia="Times New Roman" w:hAnsi="Arial" w:cs="Arial"/>
                <w:color w:val="808080"/>
                <w:sz w:val="20"/>
                <w:szCs w:val="20"/>
                <w:lang w:eastAsia="es-CO"/>
              </w:rPr>
            </w:pPr>
            <w:r>
              <w:rPr>
                <w:rStyle w:val="normaltextrun"/>
                <w:rFonts w:ascii="Calibri" w:hAnsi="Calibri" w:cs="Calibri"/>
                <w:color w:val="000000"/>
                <w:shd w:val="clear" w:color="auto" w:fill="FFFFFF"/>
              </w:rPr>
              <w:t xml:space="preserve">Adquirir </w:t>
            </w:r>
            <w:r w:rsidR="00883100">
              <w:rPr>
                <w:rStyle w:val="normaltextrun"/>
                <w:rFonts w:ascii="Calibri" w:hAnsi="Calibri" w:cs="Calibri"/>
                <w:color w:val="000000"/>
                <w:shd w:val="clear" w:color="auto" w:fill="FFFFFF"/>
              </w:rPr>
              <w:t>un</w:t>
            </w:r>
            <w:r>
              <w:rPr>
                <w:rStyle w:val="normaltextrun"/>
                <w:rFonts w:ascii="Calibri" w:hAnsi="Calibri" w:cs="Calibri"/>
                <w:color w:val="000000"/>
                <w:shd w:val="clear" w:color="auto" w:fill="FFFFFF"/>
              </w:rPr>
              <w:t>a</w:t>
            </w:r>
            <w:r w:rsidR="00883100">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aplicación </w:t>
            </w:r>
            <w:r w:rsidR="00D551F8" w:rsidRPr="00114204">
              <w:rPr>
                <w:rStyle w:val="normaltextrun"/>
                <w:rFonts w:ascii="Calibri" w:hAnsi="Calibri" w:cs="Calibri"/>
                <w:color w:val="000000"/>
              </w:rPr>
              <w:t>ON </w:t>
            </w:r>
            <w:proofErr w:type="spellStart"/>
            <w:r w:rsidR="00D551F8" w:rsidRPr="00114204">
              <w:rPr>
                <w:rStyle w:val="normaltextrun"/>
                <w:rFonts w:ascii="Calibri" w:hAnsi="Calibri" w:cs="Calibri"/>
                <w:color w:val="000000"/>
              </w:rPr>
              <w:t>Premise</w:t>
            </w:r>
            <w:proofErr w:type="spellEnd"/>
            <w:r w:rsidR="0039375D">
              <w:rPr>
                <w:rStyle w:val="normaltextrun"/>
                <w:rFonts w:ascii="Calibri" w:hAnsi="Calibri" w:cs="Calibri"/>
                <w:color w:val="000000"/>
              </w:rPr>
              <w:t>,</w:t>
            </w:r>
            <w:r w:rsidR="0039375D">
              <w:rPr>
                <w:rStyle w:val="normaltextrun"/>
                <w:rFonts w:ascii="Calibri" w:hAnsi="Calibri" w:cs="Calibri"/>
                <w:color w:val="000000"/>
                <w:shd w:val="clear" w:color="auto" w:fill="FFFFFF"/>
              </w:rPr>
              <w:t xml:space="preserve"> para la gestión de </w:t>
            </w:r>
            <w:r>
              <w:rPr>
                <w:rStyle w:val="normaltextrun"/>
                <w:rFonts w:ascii="Calibri" w:hAnsi="Calibri" w:cs="Calibri"/>
                <w:color w:val="000000"/>
                <w:shd w:val="clear" w:color="auto" w:fill="FFFFFF"/>
              </w:rPr>
              <w:t xml:space="preserve">requerimientos de incidentes cibernéticos </w:t>
            </w:r>
            <w:r w:rsidR="00883100">
              <w:rPr>
                <w:rStyle w:val="normaltextrun"/>
                <w:rFonts w:ascii="Calibri" w:hAnsi="Calibri" w:cs="Calibri"/>
                <w:color w:val="000000"/>
                <w:shd w:val="clear" w:color="auto" w:fill="FFFFFF"/>
              </w:rPr>
              <w:t>que reportan las Entidades públicas al CSIRT Gobierno</w:t>
            </w:r>
            <w:r w:rsidR="0007561B">
              <w:rPr>
                <w:rStyle w:val="normaltextrun"/>
                <w:rFonts w:ascii="Calibri" w:hAnsi="Calibri" w:cs="Calibri"/>
                <w:color w:val="000000"/>
                <w:shd w:val="clear" w:color="auto" w:fill="FFFFFF"/>
              </w:rPr>
              <w:t>.</w:t>
            </w:r>
          </w:p>
        </w:tc>
      </w:tr>
      <w:tr w:rsidR="00A57A38" w:rsidRPr="00D7302F" w14:paraId="6A3845A1" w14:textId="77777777" w:rsidTr="00607F80">
        <w:trPr>
          <w:trHeight w:val="145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083503D3" w14:textId="587BE4FB"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 xml:space="preserve">Alcance del requerimiento </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3CDC4B0F" w14:textId="7E9EC6C7" w:rsidR="00DE1075" w:rsidRPr="00F75A54" w:rsidRDefault="00974A2D" w:rsidP="0007561B">
            <w:pPr>
              <w:spacing w:after="0" w:line="240" w:lineRule="auto"/>
              <w:jc w:val="both"/>
              <w:rPr>
                <w:rFonts w:ascii="Arial" w:eastAsia="Times New Roman" w:hAnsi="Arial" w:cs="Arial"/>
                <w:sz w:val="20"/>
                <w:szCs w:val="20"/>
                <w:lang w:eastAsia="es-CO"/>
              </w:rPr>
            </w:pPr>
            <w:r>
              <w:rPr>
                <w:rStyle w:val="normaltextrun"/>
                <w:rFonts w:ascii="Calibri" w:hAnsi="Calibri" w:cs="Calibri"/>
                <w:color w:val="000000"/>
                <w:shd w:val="clear" w:color="auto" w:fill="FFFFFF"/>
              </w:rPr>
              <w:t xml:space="preserve">Adquirir </w:t>
            </w:r>
            <w:r w:rsidR="00232EEE">
              <w:rPr>
                <w:rStyle w:val="normaltextrun"/>
                <w:rFonts w:ascii="Calibri" w:hAnsi="Calibri" w:cs="Calibri"/>
                <w:color w:val="000000"/>
                <w:shd w:val="clear" w:color="auto" w:fill="FFFFFF"/>
              </w:rPr>
              <w:t xml:space="preserve">una aplicación </w:t>
            </w:r>
            <w:r w:rsidR="00232EEE" w:rsidRPr="00114204">
              <w:rPr>
                <w:rStyle w:val="normaltextrun"/>
                <w:rFonts w:ascii="Calibri" w:hAnsi="Calibri" w:cs="Calibri"/>
                <w:color w:val="000000"/>
              </w:rPr>
              <w:t>ON </w:t>
            </w:r>
            <w:proofErr w:type="spellStart"/>
            <w:r w:rsidR="00232EEE" w:rsidRPr="00114204">
              <w:rPr>
                <w:rStyle w:val="normaltextrun"/>
                <w:rFonts w:ascii="Calibri" w:hAnsi="Calibri" w:cs="Calibri"/>
                <w:color w:val="000000"/>
              </w:rPr>
              <w:t>Premise</w:t>
            </w:r>
            <w:proofErr w:type="spellEnd"/>
            <w:r>
              <w:rPr>
                <w:rStyle w:val="normaltextrun"/>
                <w:rFonts w:ascii="Calibri" w:hAnsi="Calibri" w:cs="Calibri"/>
                <w:color w:val="000000"/>
                <w:shd w:val="clear" w:color="auto" w:fill="FFFFFF"/>
              </w:rPr>
              <w:t>, que permita al CSIRT Gobierno contar con un punto único de contacto a nivel Colombia</w:t>
            </w:r>
            <w:r w:rsidR="00232EEE">
              <w:rPr>
                <w:rStyle w:val="normaltextrun"/>
                <w:rFonts w:ascii="Calibri" w:hAnsi="Calibri" w:cs="Calibri"/>
                <w:color w:val="000000"/>
                <w:shd w:val="clear" w:color="auto" w:fill="FFFFFF"/>
              </w:rPr>
              <w:t xml:space="preserve"> para 10 </w:t>
            </w:r>
            <w:r w:rsidR="00DE1075">
              <w:rPr>
                <w:rStyle w:val="normaltextrun"/>
                <w:rFonts w:ascii="Calibri" w:hAnsi="Calibri" w:cs="Calibri"/>
                <w:color w:val="000000"/>
                <w:shd w:val="clear" w:color="auto" w:fill="FFFFFF"/>
              </w:rPr>
              <w:t>agentes y un supervisor</w:t>
            </w:r>
            <w:r>
              <w:rPr>
                <w:rStyle w:val="normaltextrun"/>
                <w:rFonts w:ascii="Calibri" w:hAnsi="Calibri" w:cs="Calibri"/>
                <w:color w:val="000000"/>
                <w:shd w:val="clear" w:color="auto" w:fill="FFFFFF"/>
              </w:rPr>
              <w:t>, para centralizar los requerimientos (Ticket) sobre incidentes cibernéticos de las entidades nacionales y territoriales</w:t>
            </w:r>
            <w:r w:rsidR="0007561B">
              <w:rPr>
                <w:rStyle w:val="normaltextrun"/>
                <w:rFonts w:ascii="Calibri" w:hAnsi="Calibri" w:cs="Calibri"/>
                <w:color w:val="000000"/>
                <w:shd w:val="clear" w:color="auto" w:fill="FFFFFF"/>
              </w:rPr>
              <w:t>,</w:t>
            </w:r>
            <w:r w:rsidR="0007561B">
              <w:rPr>
                <w:rStyle w:val="normaltextrun"/>
              </w:rPr>
              <w:t xml:space="preserve"> para ser instalada en ambiente virtual.</w:t>
            </w:r>
          </w:p>
        </w:tc>
      </w:tr>
      <w:tr w:rsidR="00A57A38" w:rsidRPr="00D7302F" w14:paraId="7604C28E" w14:textId="77777777" w:rsidTr="00C20B21">
        <w:trPr>
          <w:trHeight w:val="5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0BD420C3" w14:textId="070A8520"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Aspectos no incluidos en el requerimiento</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63F98233" w14:textId="674AB3EA" w:rsidR="00A57A38" w:rsidRPr="00D7302F" w:rsidRDefault="00717D82" w:rsidP="00C455D3">
            <w:pPr>
              <w:spacing w:after="0" w:line="240" w:lineRule="auto"/>
              <w:rPr>
                <w:rFonts w:ascii="Arial" w:eastAsia="Times New Roman" w:hAnsi="Arial" w:cs="Arial"/>
                <w:color w:val="808080"/>
                <w:sz w:val="20"/>
                <w:szCs w:val="20"/>
                <w:lang w:eastAsia="es-CO"/>
              </w:rPr>
            </w:pPr>
            <w:r w:rsidRPr="00D7302F">
              <w:rPr>
                <w:rFonts w:ascii="Arial" w:eastAsia="Times New Roman" w:hAnsi="Arial" w:cs="Arial"/>
                <w:sz w:val="20"/>
                <w:szCs w:val="20"/>
                <w:lang w:eastAsia="es-CO"/>
              </w:rPr>
              <w:t>N/A</w:t>
            </w:r>
            <w:r w:rsidR="00A57A38" w:rsidRPr="00D7302F">
              <w:rPr>
                <w:rFonts w:ascii="Arial" w:eastAsia="Times New Roman" w:hAnsi="Arial" w:cs="Arial"/>
                <w:sz w:val="20"/>
                <w:szCs w:val="20"/>
                <w:lang w:eastAsia="es-CO"/>
              </w:rPr>
              <w:t> </w:t>
            </w:r>
          </w:p>
        </w:tc>
      </w:tr>
      <w:tr w:rsidR="00A57A38" w:rsidRPr="00D7302F" w14:paraId="7258A0C0" w14:textId="77777777" w:rsidTr="00607F80">
        <w:trPr>
          <w:trHeight w:val="145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2FA8AE3C"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Productos, entregables y resultados esperados</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0C17E937" w14:textId="59BA85F7" w:rsidR="0007561B" w:rsidRDefault="0007561B" w:rsidP="0007561B">
            <w:pPr>
              <w:pStyle w:val="Prrafodelista"/>
              <w:numPr>
                <w:ilvl w:val="0"/>
                <w:numId w:val="17"/>
              </w:numPr>
              <w:spacing w:line="254" w:lineRule="auto"/>
              <w:jc w:val="both"/>
              <w:rPr>
                <w:rStyle w:val="normaltextrun"/>
                <w:color w:val="000000"/>
                <w:shd w:val="clear" w:color="auto" w:fill="FFFFFF"/>
              </w:rPr>
            </w:pPr>
            <w:r>
              <w:rPr>
                <w:rStyle w:val="normaltextrun"/>
                <w:color w:val="000000"/>
                <w:shd w:val="clear" w:color="auto" w:fill="FFFFFF"/>
              </w:rPr>
              <w:t>Solución de gestión de ticket</w:t>
            </w:r>
            <w:r w:rsidR="00D079D6">
              <w:rPr>
                <w:rStyle w:val="normaltextrun"/>
                <w:color w:val="000000"/>
                <w:shd w:val="clear" w:color="auto" w:fill="FFFFFF"/>
              </w:rPr>
              <w:t xml:space="preserve"> de incidentes de seguridad</w:t>
            </w:r>
            <w:r>
              <w:rPr>
                <w:rStyle w:val="normaltextrun"/>
                <w:color w:val="000000"/>
                <w:shd w:val="clear" w:color="auto" w:fill="FFFFFF"/>
              </w:rPr>
              <w:t>, instalada, configurada y operativa.</w:t>
            </w:r>
          </w:p>
          <w:p w14:paraId="0C5A98DB" w14:textId="77777777" w:rsidR="0007561B" w:rsidRDefault="0007561B" w:rsidP="0007561B">
            <w:pPr>
              <w:pStyle w:val="Prrafodelista"/>
              <w:numPr>
                <w:ilvl w:val="0"/>
                <w:numId w:val="17"/>
              </w:numPr>
              <w:spacing w:line="254" w:lineRule="auto"/>
              <w:jc w:val="both"/>
              <w:rPr>
                <w:rStyle w:val="normaltextrun"/>
                <w:color w:val="000000"/>
              </w:rPr>
            </w:pPr>
            <w:r>
              <w:rPr>
                <w:rStyle w:val="normaltextrun"/>
                <w:color w:val="000000"/>
                <w:shd w:val="clear" w:color="auto" w:fill="FFFFFF"/>
              </w:rPr>
              <w:t>Manuales de administración y</w:t>
            </w:r>
            <w:r>
              <w:rPr>
                <w:rStyle w:val="normaltextrun"/>
                <w:color w:val="000000"/>
              </w:rPr>
              <w:t xml:space="preserve"> usuarios.</w:t>
            </w:r>
          </w:p>
          <w:p w14:paraId="0AA6D40A" w14:textId="77777777" w:rsidR="0007561B" w:rsidRDefault="0007561B" w:rsidP="0007561B">
            <w:pPr>
              <w:pStyle w:val="Prrafodelista"/>
              <w:numPr>
                <w:ilvl w:val="0"/>
                <w:numId w:val="17"/>
              </w:numPr>
              <w:spacing w:line="254" w:lineRule="auto"/>
              <w:jc w:val="both"/>
              <w:rPr>
                <w:rStyle w:val="normaltextrun"/>
                <w:color w:val="000000"/>
                <w:shd w:val="clear" w:color="auto" w:fill="FFFFFF"/>
              </w:rPr>
            </w:pPr>
            <w:r>
              <w:rPr>
                <w:rStyle w:val="normaltextrun"/>
                <w:color w:val="000000"/>
                <w:shd w:val="clear" w:color="auto" w:fill="FFFFFF"/>
              </w:rPr>
              <w:t>Capacitación y transferencia de conocimiento.</w:t>
            </w:r>
          </w:p>
          <w:p w14:paraId="3D214C3D" w14:textId="236B1A93" w:rsidR="0007561B" w:rsidRDefault="0007561B" w:rsidP="0007561B">
            <w:pPr>
              <w:pStyle w:val="Prrafodelista"/>
              <w:numPr>
                <w:ilvl w:val="0"/>
                <w:numId w:val="17"/>
              </w:numPr>
              <w:spacing w:line="254" w:lineRule="auto"/>
              <w:jc w:val="both"/>
              <w:rPr>
                <w:rStyle w:val="normaltextrun"/>
                <w:color w:val="000000"/>
                <w:shd w:val="clear" w:color="auto" w:fill="FFFFFF"/>
              </w:rPr>
            </w:pPr>
            <w:r>
              <w:rPr>
                <w:rStyle w:val="normaltextrun"/>
                <w:color w:val="000000"/>
                <w:shd w:val="clear" w:color="auto" w:fill="FFFFFF"/>
              </w:rPr>
              <w:t>Soporte y man</w:t>
            </w:r>
            <w:r w:rsidR="00D079D6">
              <w:rPr>
                <w:rStyle w:val="normaltextrun"/>
                <w:color w:val="000000"/>
                <w:shd w:val="clear" w:color="auto" w:fill="FFFFFF"/>
              </w:rPr>
              <w:t>tenimiento de fábrica por 14 meses</w:t>
            </w:r>
            <w:r>
              <w:rPr>
                <w:rStyle w:val="normaltextrun"/>
                <w:color w:val="000000"/>
                <w:shd w:val="clear" w:color="auto" w:fill="FFFFFF"/>
              </w:rPr>
              <w:t>.</w:t>
            </w:r>
          </w:p>
          <w:p w14:paraId="7E0D2306" w14:textId="09203BBE" w:rsidR="0007561B" w:rsidRDefault="009B794B" w:rsidP="0007561B">
            <w:pPr>
              <w:pStyle w:val="Prrafodelista"/>
              <w:numPr>
                <w:ilvl w:val="0"/>
                <w:numId w:val="17"/>
              </w:numPr>
              <w:spacing w:line="254" w:lineRule="auto"/>
              <w:jc w:val="both"/>
              <w:rPr>
                <w:rStyle w:val="normaltextrun"/>
                <w:color w:val="000000"/>
                <w:shd w:val="clear" w:color="auto" w:fill="FFFFFF"/>
              </w:rPr>
            </w:pPr>
            <w:r>
              <w:rPr>
                <w:rStyle w:val="normaltextrun"/>
                <w:color w:val="000000"/>
                <w:shd w:val="clear" w:color="auto" w:fill="FFFFFF"/>
              </w:rPr>
              <w:t>Configuración de r</w:t>
            </w:r>
            <w:r w:rsidR="0007561B">
              <w:rPr>
                <w:rStyle w:val="normaltextrun"/>
                <w:color w:val="000000"/>
                <w:shd w:val="clear" w:color="auto" w:fill="FFFFFF"/>
              </w:rPr>
              <w:t>eportes personalizados</w:t>
            </w:r>
          </w:p>
          <w:p w14:paraId="7530F5F5" w14:textId="67C4072B" w:rsidR="00D079D6" w:rsidRPr="009B794B" w:rsidRDefault="0007561B" w:rsidP="009B794B">
            <w:pPr>
              <w:pStyle w:val="Prrafodelista"/>
              <w:numPr>
                <w:ilvl w:val="0"/>
                <w:numId w:val="17"/>
              </w:numPr>
              <w:spacing w:line="254" w:lineRule="auto"/>
              <w:jc w:val="both"/>
              <w:rPr>
                <w:color w:val="000000"/>
                <w:shd w:val="clear" w:color="auto" w:fill="FFFFFF"/>
              </w:rPr>
            </w:pPr>
            <w:r>
              <w:rPr>
                <w:rStyle w:val="normaltextrun"/>
                <w:color w:val="000000"/>
                <w:shd w:val="clear" w:color="auto" w:fill="FFFFFF"/>
              </w:rPr>
              <w:t>Configuración</w:t>
            </w:r>
            <w:r w:rsidR="00D079D6">
              <w:rPr>
                <w:rStyle w:val="normaltextrun"/>
                <w:color w:val="000000"/>
                <w:shd w:val="clear" w:color="auto" w:fill="FFFFFF"/>
              </w:rPr>
              <w:t xml:space="preserve"> del</w:t>
            </w:r>
            <w:r>
              <w:rPr>
                <w:rStyle w:val="normaltextrun"/>
                <w:color w:val="000000"/>
                <w:shd w:val="clear" w:color="auto" w:fill="FFFFFF"/>
              </w:rPr>
              <w:t xml:space="preserve"> sistema de </w:t>
            </w:r>
            <w:proofErr w:type="spellStart"/>
            <w:r>
              <w:rPr>
                <w:rStyle w:val="normaltextrun"/>
                <w:color w:val="000000"/>
                <w:shd w:val="clear" w:color="auto" w:fill="FFFFFF"/>
              </w:rPr>
              <w:t>backup</w:t>
            </w:r>
            <w:proofErr w:type="spellEnd"/>
            <w:r w:rsidR="00D079D6">
              <w:rPr>
                <w:rStyle w:val="normaltextrun"/>
                <w:color w:val="000000"/>
                <w:shd w:val="clear" w:color="auto" w:fill="FFFFFF"/>
              </w:rPr>
              <w:t xml:space="preserve"> de la herramienta</w:t>
            </w:r>
            <w:r>
              <w:rPr>
                <w:rStyle w:val="normaltextrun"/>
                <w:color w:val="000000"/>
                <w:shd w:val="clear" w:color="auto" w:fill="FFFFFF"/>
              </w:rPr>
              <w:t>.</w:t>
            </w:r>
          </w:p>
        </w:tc>
      </w:tr>
      <w:tr w:rsidR="00A57A38" w:rsidRPr="00D7302F" w14:paraId="05C2E0D3" w14:textId="77777777" w:rsidTr="00607F80">
        <w:trPr>
          <w:trHeight w:val="6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4D1BE38E" w14:textId="4D170862" w:rsidR="00A57A38" w:rsidRPr="00D7302F" w:rsidRDefault="00A57A38" w:rsidP="00A57A38">
            <w:pPr>
              <w:spacing w:after="0" w:line="240" w:lineRule="auto"/>
              <w:rPr>
                <w:rFonts w:ascii="Arial" w:eastAsia="Times New Roman" w:hAnsi="Arial" w:cs="Arial"/>
                <w:b/>
                <w:bCs/>
                <w:color w:val="000000"/>
                <w:sz w:val="20"/>
                <w:szCs w:val="20"/>
                <w:lang w:eastAsia="es-CO"/>
              </w:rPr>
            </w:pPr>
            <w:bookmarkStart w:id="0" w:name="_GoBack"/>
            <w:r w:rsidRPr="00D7302F">
              <w:rPr>
                <w:rFonts w:ascii="Arial" w:eastAsia="Times New Roman" w:hAnsi="Arial" w:cs="Arial"/>
                <w:b/>
                <w:bCs/>
                <w:color w:val="000000"/>
                <w:sz w:val="20"/>
                <w:szCs w:val="20"/>
                <w:lang w:eastAsia="es-CO"/>
              </w:rPr>
              <w:t>Criterios de aceptación de los productos</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41F59787" w14:textId="7B65D6A0" w:rsidR="00A57A38" w:rsidRPr="00D7302F" w:rsidRDefault="00DE1075" w:rsidP="006F10E7">
            <w:pPr>
              <w:spacing w:after="0" w:line="240" w:lineRule="auto"/>
              <w:rPr>
                <w:rFonts w:ascii="Arial" w:eastAsia="Times New Roman" w:hAnsi="Arial" w:cs="Arial"/>
                <w:color w:val="808080"/>
                <w:sz w:val="20"/>
                <w:szCs w:val="20"/>
                <w:lang w:eastAsia="es-CO"/>
              </w:rPr>
            </w:pPr>
            <w:r>
              <w:rPr>
                <w:rFonts w:ascii="Arial" w:eastAsia="Times New Roman" w:hAnsi="Arial" w:cs="Arial"/>
                <w:sz w:val="20"/>
                <w:szCs w:val="20"/>
                <w:lang w:eastAsia="es-CO"/>
              </w:rPr>
              <w:t>Que l</w:t>
            </w:r>
            <w:r w:rsidR="0007561B">
              <w:rPr>
                <w:rFonts w:ascii="Arial" w:eastAsia="Times New Roman" w:hAnsi="Arial" w:cs="Arial"/>
                <w:sz w:val="20"/>
                <w:szCs w:val="20"/>
                <w:lang w:eastAsia="es-CO"/>
              </w:rPr>
              <w:t xml:space="preserve">a solución de ticket </w:t>
            </w:r>
            <w:r>
              <w:rPr>
                <w:rFonts w:ascii="Arial" w:eastAsia="Times New Roman" w:hAnsi="Arial" w:cs="Arial"/>
                <w:sz w:val="20"/>
                <w:szCs w:val="20"/>
                <w:lang w:eastAsia="es-CO"/>
              </w:rPr>
              <w:t>cumpla con los requerimientos técnicos solicitados por el CSIRT Gobierno.</w:t>
            </w:r>
          </w:p>
        </w:tc>
      </w:tr>
      <w:bookmarkEnd w:id="0"/>
      <w:tr w:rsidR="00A57A38" w:rsidRPr="00D7302F" w14:paraId="76BF8241" w14:textId="77777777" w:rsidTr="00607F80">
        <w:trPr>
          <w:trHeight w:val="675"/>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2037BCC5"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Otros requerimientos técnicos</w:t>
            </w:r>
          </w:p>
        </w:tc>
        <w:tc>
          <w:tcPr>
            <w:tcW w:w="3803" w:type="pct"/>
            <w:tcBorders>
              <w:top w:val="single" w:sz="4" w:space="0" w:color="auto"/>
              <w:left w:val="nil"/>
              <w:bottom w:val="single" w:sz="4" w:space="0" w:color="auto"/>
              <w:right w:val="double" w:sz="6" w:space="0" w:color="000000"/>
            </w:tcBorders>
            <w:shd w:val="clear" w:color="auto" w:fill="auto"/>
            <w:vAlign w:val="center"/>
            <w:hideMark/>
          </w:tcPr>
          <w:p w14:paraId="15519B4C" w14:textId="382187AB" w:rsidR="00A57A38" w:rsidRPr="00D7302F" w:rsidRDefault="008A44C0" w:rsidP="008A44C0">
            <w:pPr>
              <w:spacing w:after="0" w:line="240" w:lineRule="auto"/>
              <w:rPr>
                <w:rFonts w:ascii="Arial" w:eastAsia="Times New Roman" w:hAnsi="Arial" w:cs="Arial"/>
                <w:color w:val="808080"/>
                <w:sz w:val="20"/>
                <w:szCs w:val="20"/>
                <w:lang w:eastAsia="es-CO"/>
              </w:rPr>
            </w:pPr>
            <w:r>
              <w:rPr>
                <w:rFonts w:ascii="Arial" w:eastAsia="Times New Roman" w:hAnsi="Arial" w:cs="Arial"/>
                <w:sz w:val="20"/>
                <w:szCs w:val="20"/>
                <w:lang w:eastAsia="es-CO"/>
              </w:rPr>
              <w:t>La solución debe ser instalada en un servidor virtual.</w:t>
            </w:r>
            <w:r w:rsidR="00A57A38" w:rsidRPr="00D7302F">
              <w:rPr>
                <w:rFonts w:ascii="Arial" w:eastAsia="Times New Roman" w:hAnsi="Arial" w:cs="Arial"/>
                <w:sz w:val="20"/>
                <w:szCs w:val="20"/>
                <w:lang w:eastAsia="es-CO"/>
              </w:rPr>
              <w:t> </w:t>
            </w:r>
          </w:p>
        </w:tc>
      </w:tr>
      <w:tr w:rsidR="00A57A38" w:rsidRPr="00D7302F" w14:paraId="0B32A756" w14:textId="77777777" w:rsidTr="00073796">
        <w:trPr>
          <w:trHeight w:val="6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2BF4FB0A"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Obligaciones técnicas específicas que deberá cumplir el contratista</w:t>
            </w:r>
          </w:p>
        </w:tc>
        <w:tc>
          <w:tcPr>
            <w:tcW w:w="3803" w:type="pct"/>
            <w:tcBorders>
              <w:top w:val="single" w:sz="4" w:space="0" w:color="auto"/>
              <w:left w:val="nil"/>
              <w:bottom w:val="single" w:sz="4" w:space="0" w:color="auto"/>
              <w:right w:val="double" w:sz="6" w:space="0" w:color="000000"/>
            </w:tcBorders>
            <w:shd w:val="clear" w:color="auto" w:fill="auto"/>
            <w:noWrap/>
            <w:vAlign w:val="center"/>
          </w:tcPr>
          <w:p w14:paraId="2C25624B" w14:textId="77777777" w:rsidR="00073796" w:rsidRPr="005630DF" w:rsidRDefault="00073796" w:rsidP="005630DF">
            <w:pPr>
              <w:rPr>
                <w:rFonts w:ascii="Arial" w:eastAsia="Times New Roman" w:hAnsi="Arial" w:cs="Arial"/>
                <w:sz w:val="20"/>
                <w:szCs w:val="20"/>
                <w:lang w:eastAsia="es-CO"/>
              </w:rPr>
            </w:pPr>
            <w:r w:rsidRPr="005630DF">
              <w:rPr>
                <w:rFonts w:ascii="Arial" w:eastAsia="Times New Roman" w:hAnsi="Arial" w:cs="Arial"/>
                <w:sz w:val="20"/>
                <w:szCs w:val="20"/>
                <w:lang w:eastAsia="es-CO"/>
              </w:rPr>
              <w:t>Especificaciones – Gestión de Tickets – Mesa de Ayuda</w:t>
            </w:r>
          </w:p>
          <w:p w14:paraId="3138A82B" w14:textId="71DC5361" w:rsidR="00073796" w:rsidRPr="00073796" w:rsidRDefault="00073796" w:rsidP="008A44C0">
            <w:pPr>
              <w:pStyle w:val="Prrafodelista"/>
              <w:numPr>
                <w:ilvl w:val="0"/>
                <w:numId w:val="15"/>
              </w:numPr>
              <w:rPr>
                <w:rFonts w:ascii="Arial" w:eastAsia="Times New Roman" w:hAnsi="Arial" w:cs="Arial"/>
                <w:sz w:val="20"/>
                <w:szCs w:val="20"/>
                <w:lang w:eastAsia="es-CO"/>
              </w:rPr>
            </w:pPr>
            <w:r w:rsidRPr="00073796">
              <w:rPr>
                <w:rFonts w:ascii="Arial" w:eastAsia="Times New Roman" w:hAnsi="Arial" w:cs="Arial"/>
                <w:sz w:val="20"/>
                <w:szCs w:val="20"/>
                <w:lang w:eastAsia="es-CO"/>
              </w:rPr>
              <w:t>Gestión de ti</w:t>
            </w:r>
            <w:r w:rsidR="00282FD9">
              <w:rPr>
                <w:rFonts w:ascii="Arial" w:eastAsia="Times New Roman" w:hAnsi="Arial" w:cs="Arial"/>
                <w:sz w:val="20"/>
                <w:szCs w:val="20"/>
                <w:lang w:eastAsia="es-CO"/>
              </w:rPr>
              <w:t>cket</w:t>
            </w:r>
            <w:r w:rsidRPr="00073796">
              <w:rPr>
                <w:rFonts w:ascii="Arial" w:eastAsia="Times New Roman" w:hAnsi="Arial" w:cs="Arial"/>
                <w:sz w:val="20"/>
                <w:szCs w:val="20"/>
                <w:lang w:eastAsia="es-CO"/>
              </w:rPr>
              <w:t xml:space="preserve"> para 10 </w:t>
            </w:r>
            <w:r w:rsidR="00282FD9">
              <w:rPr>
                <w:rFonts w:ascii="Arial" w:eastAsia="Times New Roman" w:hAnsi="Arial" w:cs="Arial"/>
                <w:sz w:val="20"/>
                <w:szCs w:val="20"/>
                <w:lang w:eastAsia="es-CO"/>
              </w:rPr>
              <w:t>agentes y un supervisor.</w:t>
            </w:r>
          </w:p>
          <w:p w14:paraId="65985A0D" w14:textId="7D7BA730" w:rsidR="00073796" w:rsidRPr="00073796" w:rsidRDefault="00073796" w:rsidP="008A44C0">
            <w:pPr>
              <w:pStyle w:val="Prrafodelista"/>
              <w:numPr>
                <w:ilvl w:val="0"/>
                <w:numId w:val="15"/>
              </w:numPr>
              <w:rPr>
                <w:rFonts w:ascii="Arial" w:eastAsia="Times New Roman" w:hAnsi="Arial" w:cs="Arial"/>
                <w:sz w:val="20"/>
                <w:szCs w:val="20"/>
                <w:lang w:eastAsia="es-CO"/>
              </w:rPr>
            </w:pPr>
            <w:r w:rsidRPr="00073796">
              <w:rPr>
                <w:rFonts w:ascii="Arial" w:eastAsia="Times New Roman" w:hAnsi="Arial" w:cs="Arial"/>
                <w:sz w:val="20"/>
                <w:szCs w:val="20"/>
                <w:lang w:eastAsia="es-CO"/>
              </w:rPr>
              <w:t>Configurable los formulario</w:t>
            </w:r>
            <w:r w:rsidR="00282FD9">
              <w:rPr>
                <w:rFonts w:ascii="Arial" w:eastAsia="Times New Roman" w:hAnsi="Arial" w:cs="Arial"/>
                <w:sz w:val="20"/>
                <w:szCs w:val="20"/>
                <w:lang w:eastAsia="es-CO"/>
              </w:rPr>
              <w:t>s</w:t>
            </w:r>
            <w:r w:rsidRPr="00073796">
              <w:rPr>
                <w:rFonts w:ascii="Arial" w:eastAsia="Times New Roman" w:hAnsi="Arial" w:cs="Arial"/>
                <w:sz w:val="20"/>
                <w:szCs w:val="20"/>
                <w:lang w:eastAsia="es-CO"/>
              </w:rPr>
              <w:t xml:space="preserve"> de entrada de datos, según </w:t>
            </w:r>
            <w:r w:rsidR="00282FD9" w:rsidRPr="00073796">
              <w:rPr>
                <w:rFonts w:ascii="Arial" w:eastAsia="Times New Roman" w:hAnsi="Arial" w:cs="Arial"/>
                <w:sz w:val="20"/>
                <w:szCs w:val="20"/>
                <w:lang w:eastAsia="es-CO"/>
              </w:rPr>
              <w:t>requerimientos</w:t>
            </w:r>
            <w:r w:rsidRPr="00073796">
              <w:rPr>
                <w:rFonts w:ascii="Arial" w:eastAsia="Times New Roman" w:hAnsi="Arial" w:cs="Arial"/>
                <w:sz w:val="20"/>
                <w:szCs w:val="20"/>
                <w:lang w:eastAsia="es-CO"/>
              </w:rPr>
              <w:t xml:space="preserve"> del CSIRT</w:t>
            </w:r>
          </w:p>
          <w:p w14:paraId="6ABFE443" w14:textId="77777777" w:rsidR="005630DF" w:rsidRDefault="00073796" w:rsidP="008A44C0">
            <w:pPr>
              <w:pStyle w:val="Prrafodelista"/>
              <w:numPr>
                <w:ilvl w:val="0"/>
                <w:numId w:val="15"/>
              </w:numPr>
              <w:rPr>
                <w:rFonts w:ascii="Arial" w:eastAsia="Times New Roman" w:hAnsi="Arial" w:cs="Arial"/>
                <w:sz w:val="20"/>
                <w:szCs w:val="20"/>
                <w:lang w:eastAsia="es-CO"/>
              </w:rPr>
            </w:pPr>
            <w:r w:rsidRPr="005630DF">
              <w:rPr>
                <w:rFonts w:ascii="Arial" w:eastAsia="Times New Roman" w:hAnsi="Arial" w:cs="Arial"/>
                <w:sz w:val="20"/>
                <w:szCs w:val="20"/>
                <w:lang w:eastAsia="es-CO"/>
              </w:rPr>
              <w:t xml:space="preserve">Implementación de solución </w:t>
            </w:r>
            <w:r w:rsidR="00282FD9" w:rsidRPr="005630DF">
              <w:rPr>
                <w:rFonts w:ascii="Arial" w:eastAsia="Times New Roman" w:hAnsi="Arial" w:cs="Arial"/>
                <w:sz w:val="20"/>
                <w:szCs w:val="20"/>
                <w:lang w:eastAsia="es-CO"/>
              </w:rPr>
              <w:t xml:space="preserve">en un </w:t>
            </w:r>
            <w:r w:rsidRPr="005630DF">
              <w:rPr>
                <w:rFonts w:ascii="Arial" w:eastAsia="Times New Roman" w:hAnsi="Arial" w:cs="Arial"/>
                <w:sz w:val="20"/>
                <w:szCs w:val="20"/>
                <w:lang w:eastAsia="es-CO"/>
              </w:rPr>
              <w:t xml:space="preserve">servidor virtual </w:t>
            </w:r>
            <w:r w:rsidR="00282FD9" w:rsidRPr="005630DF">
              <w:rPr>
                <w:rFonts w:ascii="Arial" w:eastAsia="Times New Roman" w:hAnsi="Arial" w:cs="Arial"/>
                <w:sz w:val="20"/>
                <w:szCs w:val="20"/>
                <w:lang w:eastAsia="es-CO"/>
              </w:rPr>
              <w:t xml:space="preserve">de la infraestructura tecnológica de </w:t>
            </w:r>
            <w:r w:rsidRPr="005630DF">
              <w:rPr>
                <w:rFonts w:ascii="Arial" w:eastAsia="Times New Roman" w:hAnsi="Arial" w:cs="Arial"/>
                <w:sz w:val="20"/>
                <w:szCs w:val="20"/>
                <w:lang w:eastAsia="es-CO"/>
              </w:rPr>
              <w:t>CSIRT</w:t>
            </w:r>
            <w:r w:rsidR="00282FD9" w:rsidRPr="005630DF">
              <w:rPr>
                <w:rFonts w:ascii="Arial" w:eastAsia="Times New Roman" w:hAnsi="Arial" w:cs="Arial"/>
                <w:sz w:val="20"/>
                <w:szCs w:val="20"/>
                <w:lang w:eastAsia="es-CO"/>
              </w:rPr>
              <w:t xml:space="preserve"> Gobierno.</w:t>
            </w:r>
          </w:p>
          <w:p w14:paraId="0B4A98E7" w14:textId="67F630ED" w:rsidR="00073796" w:rsidRPr="005630DF" w:rsidRDefault="00073796" w:rsidP="008A44C0">
            <w:pPr>
              <w:pStyle w:val="Prrafodelista"/>
              <w:numPr>
                <w:ilvl w:val="0"/>
                <w:numId w:val="15"/>
              </w:numPr>
              <w:rPr>
                <w:rFonts w:ascii="Arial" w:eastAsia="Times New Roman" w:hAnsi="Arial" w:cs="Arial"/>
                <w:sz w:val="20"/>
                <w:szCs w:val="20"/>
                <w:lang w:eastAsia="es-CO"/>
              </w:rPr>
            </w:pPr>
            <w:r w:rsidRPr="005630DF">
              <w:rPr>
                <w:rFonts w:ascii="Arial" w:eastAsia="Times New Roman" w:hAnsi="Arial" w:cs="Arial"/>
                <w:sz w:val="20"/>
                <w:szCs w:val="20"/>
                <w:lang w:eastAsia="es-CO"/>
              </w:rPr>
              <w:t>Solución sobre plataforma Linux</w:t>
            </w:r>
          </w:p>
          <w:p w14:paraId="47D89EC0" w14:textId="5118B122" w:rsidR="00073796" w:rsidRPr="00073796" w:rsidRDefault="00073796" w:rsidP="008A44C0">
            <w:pPr>
              <w:pStyle w:val="Prrafodelista"/>
              <w:numPr>
                <w:ilvl w:val="0"/>
                <w:numId w:val="15"/>
              </w:numPr>
              <w:rPr>
                <w:rFonts w:ascii="Arial" w:eastAsia="Times New Roman" w:hAnsi="Arial" w:cs="Arial"/>
                <w:sz w:val="20"/>
                <w:szCs w:val="20"/>
                <w:lang w:eastAsia="es-CO"/>
              </w:rPr>
            </w:pPr>
            <w:r w:rsidRPr="00073796">
              <w:rPr>
                <w:rFonts w:ascii="Arial" w:eastAsia="Times New Roman" w:hAnsi="Arial" w:cs="Arial"/>
                <w:sz w:val="20"/>
                <w:szCs w:val="20"/>
                <w:lang w:eastAsia="es-CO"/>
              </w:rPr>
              <w:t>Incluir el licenc</w:t>
            </w:r>
            <w:r w:rsidR="00282FD9">
              <w:rPr>
                <w:rFonts w:ascii="Arial" w:eastAsia="Times New Roman" w:hAnsi="Arial" w:cs="Arial"/>
                <w:sz w:val="20"/>
                <w:szCs w:val="20"/>
                <w:lang w:eastAsia="es-CO"/>
              </w:rPr>
              <w:t>iamiento</w:t>
            </w:r>
            <w:r w:rsidRPr="00073796">
              <w:rPr>
                <w:rFonts w:ascii="Arial" w:eastAsia="Times New Roman" w:hAnsi="Arial" w:cs="Arial"/>
                <w:sz w:val="20"/>
                <w:szCs w:val="20"/>
                <w:lang w:eastAsia="es-CO"/>
              </w:rPr>
              <w:t xml:space="preserve"> del motor de base de datos.</w:t>
            </w:r>
          </w:p>
          <w:p w14:paraId="2D8DA92C" w14:textId="0972134F" w:rsidR="005630DF" w:rsidRDefault="00282FD9" w:rsidP="008A44C0">
            <w:pPr>
              <w:pStyle w:val="Prrafodelista"/>
              <w:numPr>
                <w:ilvl w:val="0"/>
                <w:numId w:val="15"/>
              </w:numPr>
              <w:rPr>
                <w:rFonts w:ascii="Arial" w:eastAsia="Times New Roman" w:hAnsi="Arial" w:cs="Arial"/>
                <w:sz w:val="20"/>
                <w:szCs w:val="20"/>
                <w:lang w:eastAsia="es-CO"/>
              </w:rPr>
            </w:pPr>
            <w:r w:rsidRPr="005630DF">
              <w:rPr>
                <w:rFonts w:ascii="Arial" w:eastAsia="Times New Roman" w:hAnsi="Arial" w:cs="Arial"/>
                <w:sz w:val="20"/>
                <w:szCs w:val="20"/>
                <w:lang w:eastAsia="es-CO"/>
              </w:rPr>
              <w:t>Aplicación</w:t>
            </w:r>
            <w:r w:rsidR="00073796" w:rsidRPr="005630DF">
              <w:rPr>
                <w:rFonts w:ascii="Arial" w:eastAsia="Times New Roman" w:hAnsi="Arial" w:cs="Arial"/>
                <w:sz w:val="20"/>
                <w:szCs w:val="20"/>
                <w:lang w:eastAsia="es-CO"/>
              </w:rPr>
              <w:t xml:space="preserve"> escalable</w:t>
            </w:r>
            <w:r w:rsidR="005630DF" w:rsidRPr="005630DF">
              <w:rPr>
                <w:rFonts w:ascii="Arial" w:eastAsia="Times New Roman" w:hAnsi="Arial" w:cs="Arial"/>
                <w:sz w:val="20"/>
                <w:szCs w:val="20"/>
                <w:lang w:eastAsia="es-CO"/>
              </w:rPr>
              <w:t>.</w:t>
            </w:r>
          </w:p>
          <w:p w14:paraId="38FB0A3F" w14:textId="22AC7908" w:rsidR="005630DF" w:rsidRDefault="00073796" w:rsidP="008A44C0">
            <w:pPr>
              <w:pStyle w:val="Prrafodelista"/>
              <w:numPr>
                <w:ilvl w:val="0"/>
                <w:numId w:val="15"/>
              </w:numPr>
              <w:rPr>
                <w:lang w:eastAsia="es-CO"/>
              </w:rPr>
            </w:pPr>
            <w:r w:rsidRPr="005630DF">
              <w:rPr>
                <w:rFonts w:ascii="Arial" w:eastAsia="Times New Roman" w:hAnsi="Arial" w:cs="Arial"/>
                <w:sz w:val="20"/>
                <w:szCs w:val="20"/>
                <w:lang w:eastAsia="es-CO"/>
              </w:rPr>
              <w:t xml:space="preserve">Integración </w:t>
            </w:r>
            <w:r w:rsidR="00282FD9" w:rsidRPr="005630DF">
              <w:rPr>
                <w:rFonts w:ascii="Arial" w:eastAsia="Times New Roman" w:hAnsi="Arial" w:cs="Arial"/>
                <w:sz w:val="20"/>
                <w:szCs w:val="20"/>
                <w:lang w:eastAsia="es-CO"/>
              </w:rPr>
              <w:t xml:space="preserve">con la plataforma de intercambio de amenazas MISP, software gratuito y de código abierto que ayuda a compartir información de inteligencia de amenazas, incluidos los indicadores de seguridad cibernética. </w:t>
            </w:r>
            <w:hyperlink r:id="rId7" w:history="1">
              <w:r w:rsidR="005630DF" w:rsidRPr="003E0310">
                <w:rPr>
                  <w:rStyle w:val="Hipervnculo"/>
                  <w:rFonts w:ascii="Arial" w:eastAsia="Times New Roman" w:hAnsi="Arial" w:cs="Arial"/>
                  <w:sz w:val="20"/>
                  <w:szCs w:val="20"/>
                  <w:lang w:eastAsia="es-CO"/>
                </w:rPr>
                <w:t>https://www.misp-project.org/.</w:t>
              </w:r>
            </w:hyperlink>
          </w:p>
          <w:p w14:paraId="2D90ACAB" w14:textId="77777777" w:rsidR="009258C7" w:rsidRPr="009258C7" w:rsidRDefault="005630DF" w:rsidP="008A44C0">
            <w:pPr>
              <w:pStyle w:val="Prrafodelista"/>
              <w:numPr>
                <w:ilvl w:val="0"/>
                <w:numId w:val="15"/>
              </w:numPr>
              <w:jc w:val="both"/>
              <w:rPr>
                <w:rFonts w:ascii="Arial" w:eastAsia="Times New Roman" w:hAnsi="Arial" w:cs="Arial"/>
                <w:sz w:val="20"/>
                <w:szCs w:val="20"/>
                <w:lang w:eastAsia="es-CO"/>
              </w:rPr>
            </w:pPr>
            <w:r w:rsidRPr="005630DF">
              <w:rPr>
                <w:lang w:eastAsia="es-CO"/>
              </w:rPr>
              <w:t xml:space="preserve">Integración con la herramienta de análisis de datos </w:t>
            </w:r>
            <w:proofErr w:type="spellStart"/>
            <w:r w:rsidRPr="005630DF">
              <w:rPr>
                <w:lang w:eastAsia="es-CO"/>
              </w:rPr>
              <w:t>Tableau</w:t>
            </w:r>
            <w:proofErr w:type="spellEnd"/>
            <w:r w:rsidRPr="005630DF">
              <w:rPr>
                <w:lang w:eastAsia="es-CO"/>
              </w:rPr>
              <w:t>.</w:t>
            </w:r>
          </w:p>
          <w:p w14:paraId="5266CC13" w14:textId="11491104" w:rsidR="009258C7" w:rsidRDefault="00073796" w:rsidP="008A44C0">
            <w:pPr>
              <w:pStyle w:val="Prrafodelista"/>
              <w:numPr>
                <w:ilvl w:val="0"/>
                <w:numId w:val="15"/>
              </w:numPr>
              <w:jc w:val="both"/>
              <w:rPr>
                <w:rFonts w:ascii="Arial" w:eastAsia="Times New Roman" w:hAnsi="Arial" w:cs="Arial"/>
                <w:sz w:val="20"/>
                <w:szCs w:val="20"/>
                <w:lang w:eastAsia="es-CO"/>
              </w:rPr>
            </w:pPr>
            <w:r w:rsidRPr="009258C7">
              <w:rPr>
                <w:rFonts w:ascii="Arial" w:eastAsia="Times New Roman" w:hAnsi="Arial" w:cs="Arial"/>
                <w:sz w:val="20"/>
                <w:szCs w:val="20"/>
                <w:lang w:eastAsia="es-CO"/>
              </w:rPr>
              <w:t>Reportes ejecutivos configurables</w:t>
            </w:r>
            <w:r w:rsidR="005912A7">
              <w:rPr>
                <w:rFonts w:ascii="Arial" w:eastAsia="Times New Roman" w:hAnsi="Arial" w:cs="Arial"/>
                <w:sz w:val="20"/>
                <w:szCs w:val="20"/>
                <w:lang w:eastAsia="es-CO"/>
              </w:rPr>
              <w:t xml:space="preserve"> y personalizados</w:t>
            </w:r>
          </w:p>
          <w:p w14:paraId="5DD650EB" w14:textId="77777777" w:rsidR="009258C7" w:rsidRDefault="00073796" w:rsidP="008A44C0">
            <w:pPr>
              <w:pStyle w:val="Prrafodelista"/>
              <w:numPr>
                <w:ilvl w:val="0"/>
                <w:numId w:val="15"/>
              </w:numPr>
              <w:jc w:val="both"/>
              <w:rPr>
                <w:rFonts w:ascii="Arial" w:eastAsia="Times New Roman" w:hAnsi="Arial" w:cs="Arial"/>
                <w:sz w:val="20"/>
                <w:szCs w:val="20"/>
                <w:lang w:eastAsia="es-CO"/>
              </w:rPr>
            </w:pPr>
            <w:r w:rsidRPr="009258C7">
              <w:rPr>
                <w:rFonts w:ascii="Arial" w:eastAsia="Times New Roman" w:hAnsi="Arial" w:cs="Arial"/>
                <w:sz w:val="20"/>
                <w:szCs w:val="20"/>
                <w:lang w:eastAsia="es-CO"/>
              </w:rPr>
              <w:t>Subida masiva de datos – migración de la data</w:t>
            </w:r>
          </w:p>
          <w:p w14:paraId="1FA15E9A" w14:textId="77777777" w:rsidR="009258C7" w:rsidRDefault="009258C7" w:rsidP="008A44C0">
            <w:pPr>
              <w:pStyle w:val="Prrafodelista"/>
              <w:numPr>
                <w:ilvl w:val="0"/>
                <w:numId w:val="15"/>
              </w:numPr>
              <w:jc w:val="both"/>
              <w:rPr>
                <w:rFonts w:ascii="Arial" w:eastAsia="Times New Roman" w:hAnsi="Arial" w:cs="Arial"/>
                <w:sz w:val="20"/>
                <w:szCs w:val="20"/>
                <w:lang w:eastAsia="es-CO"/>
              </w:rPr>
            </w:pPr>
            <w:r w:rsidRPr="009258C7">
              <w:rPr>
                <w:rFonts w:ascii="Arial" w:eastAsia="Times New Roman" w:hAnsi="Arial" w:cs="Arial"/>
                <w:sz w:val="20"/>
                <w:szCs w:val="20"/>
                <w:lang w:eastAsia="es-CO"/>
              </w:rPr>
              <w:lastRenderedPageBreak/>
              <w:t>Capacitación para Administradores y usuarios</w:t>
            </w:r>
          </w:p>
          <w:p w14:paraId="152B7A6C" w14:textId="77777777" w:rsidR="009258C7" w:rsidRDefault="00073796" w:rsidP="008A44C0">
            <w:pPr>
              <w:pStyle w:val="Prrafodelista"/>
              <w:numPr>
                <w:ilvl w:val="0"/>
                <w:numId w:val="15"/>
              </w:numPr>
              <w:jc w:val="both"/>
              <w:rPr>
                <w:rFonts w:ascii="Arial" w:eastAsia="Times New Roman" w:hAnsi="Arial" w:cs="Arial"/>
                <w:sz w:val="20"/>
                <w:szCs w:val="20"/>
                <w:lang w:eastAsia="es-CO"/>
              </w:rPr>
            </w:pPr>
            <w:r w:rsidRPr="009258C7">
              <w:rPr>
                <w:rFonts w:ascii="Arial" w:eastAsia="Times New Roman" w:hAnsi="Arial" w:cs="Arial"/>
                <w:sz w:val="20"/>
                <w:szCs w:val="20"/>
                <w:lang w:eastAsia="es-CO"/>
              </w:rPr>
              <w:t>Establecimiento de ANS de servicios para el soporte</w:t>
            </w:r>
          </w:p>
          <w:p w14:paraId="188F74D9" w14:textId="77777777" w:rsidR="009258C7" w:rsidRDefault="00073796" w:rsidP="008A44C0">
            <w:pPr>
              <w:pStyle w:val="Prrafodelista"/>
              <w:numPr>
                <w:ilvl w:val="0"/>
                <w:numId w:val="15"/>
              </w:numPr>
              <w:jc w:val="both"/>
              <w:rPr>
                <w:rFonts w:ascii="Arial" w:eastAsia="Times New Roman" w:hAnsi="Arial" w:cs="Arial"/>
                <w:sz w:val="20"/>
                <w:szCs w:val="20"/>
                <w:lang w:eastAsia="es-CO"/>
              </w:rPr>
            </w:pPr>
            <w:r w:rsidRPr="009258C7">
              <w:rPr>
                <w:rFonts w:ascii="Arial" w:eastAsia="Times New Roman" w:hAnsi="Arial" w:cs="Arial"/>
                <w:sz w:val="20"/>
                <w:szCs w:val="20"/>
                <w:lang w:eastAsia="es-CO"/>
              </w:rPr>
              <w:t>Entrega de manuales de usuario</w:t>
            </w:r>
          </w:p>
          <w:p w14:paraId="71C80A14" w14:textId="77777777" w:rsidR="009258C7" w:rsidRDefault="00073796" w:rsidP="008A44C0">
            <w:pPr>
              <w:pStyle w:val="Prrafodelista"/>
              <w:numPr>
                <w:ilvl w:val="0"/>
                <w:numId w:val="15"/>
              </w:numPr>
              <w:jc w:val="both"/>
              <w:rPr>
                <w:rFonts w:ascii="Arial" w:eastAsia="Times New Roman" w:hAnsi="Arial" w:cs="Arial"/>
                <w:sz w:val="20"/>
                <w:szCs w:val="20"/>
                <w:lang w:eastAsia="es-CO"/>
              </w:rPr>
            </w:pPr>
            <w:r w:rsidRPr="009258C7">
              <w:rPr>
                <w:rFonts w:ascii="Arial" w:eastAsia="Times New Roman" w:hAnsi="Arial" w:cs="Arial"/>
                <w:sz w:val="20"/>
                <w:szCs w:val="20"/>
                <w:lang w:eastAsia="es-CO"/>
              </w:rPr>
              <w:t>Creación de perfiles</w:t>
            </w:r>
            <w:r w:rsidR="009258C7" w:rsidRPr="009258C7">
              <w:rPr>
                <w:rFonts w:ascii="Arial" w:eastAsia="Times New Roman" w:hAnsi="Arial" w:cs="Arial"/>
                <w:sz w:val="20"/>
                <w:szCs w:val="20"/>
                <w:lang w:eastAsia="es-CO"/>
              </w:rPr>
              <w:t xml:space="preserve"> de lectura, escritura y modificación para usuarios</w:t>
            </w:r>
          </w:p>
          <w:p w14:paraId="5A609F7B" w14:textId="77777777" w:rsidR="00B84326" w:rsidRDefault="009258C7" w:rsidP="008A44C0">
            <w:pPr>
              <w:pStyle w:val="Prrafodelista"/>
              <w:numPr>
                <w:ilvl w:val="0"/>
                <w:numId w:val="15"/>
              </w:numPr>
              <w:jc w:val="both"/>
              <w:rPr>
                <w:rFonts w:ascii="Arial" w:eastAsia="Times New Roman" w:hAnsi="Arial" w:cs="Arial"/>
                <w:sz w:val="20"/>
                <w:szCs w:val="20"/>
                <w:lang w:eastAsia="es-CO"/>
              </w:rPr>
            </w:pPr>
            <w:r w:rsidRPr="00B84326">
              <w:rPr>
                <w:rFonts w:ascii="Arial" w:eastAsia="Times New Roman" w:hAnsi="Arial" w:cs="Arial"/>
                <w:sz w:val="20"/>
                <w:szCs w:val="20"/>
                <w:lang w:eastAsia="es-CO"/>
              </w:rPr>
              <w:t>Envió</w:t>
            </w:r>
            <w:r w:rsidR="00073796" w:rsidRPr="00B84326">
              <w:rPr>
                <w:rFonts w:ascii="Arial" w:eastAsia="Times New Roman" w:hAnsi="Arial" w:cs="Arial"/>
                <w:sz w:val="20"/>
                <w:szCs w:val="20"/>
                <w:lang w:eastAsia="es-CO"/>
              </w:rPr>
              <w:t xml:space="preserve"> de </w:t>
            </w:r>
            <w:r w:rsidRPr="00B84326">
              <w:rPr>
                <w:rFonts w:ascii="Arial" w:eastAsia="Times New Roman" w:hAnsi="Arial" w:cs="Arial"/>
                <w:sz w:val="20"/>
                <w:szCs w:val="20"/>
                <w:lang w:eastAsia="es-CO"/>
              </w:rPr>
              <w:t xml:space="preserve">notificaciones por </w:t>
            </w:r>
            <w:r w:rsidR="00073796" w:rsidRPr="00B84326">
              <w:rPr>
                <w:rFonts w:ascii="Arial" w:eastAsia="Times New Roman" w:hAnsi="Arial" w:cs="Arial"/>
                <w:sz w:val="20"/>
                <w:szCs w:val="20"/>
                <w:lang w:eastAsia="es-CO"/>
              </w:rPr>
              <w:t>correo</w:t>
            </w:r>
            <w:r w:rsidR="00282FD9" w:rsidRPr="00B84326">
              <w:rPr>
                <w:rFonts w:ascii="Arial" w:eastAsia="Times New Roman" w:hAnsi="Arial" w:cs="Arial"/>
                <w:sz w:val="20"/>
                <w:szCs w:val="20"/>
                <w:lang w:eastAsia="es-CO"/>
              </w:rPr>
              <w:t xml:space="preserve"> electrónicos </w:t>
            </w:r>
            <w:r w:rsidR="00073796" w:rsidRPr="00B84326">
              <w:rPr>
                <w:rFonts w:ascii="Arial" w:eastAsia="Times New Roman" w:hAnsi="Arial" w:cs="Arial"/>
                <w:sz w:val="20"/>
                <w:szCs w:val="20"/>
                <w:lang w:eastAsia="es-CO"/>
              </w:rPr>
              <w:t>configurables</w:t>
            </w:r>
          </w:p>
          <w:p w14:paraId="3B79EDCF" w14:textId="77777777" w:rsidR="00B84326" w:rsidRDefault="00B84326" w:rsidP="008A44C0">
            <w:pPr>
              <w:pStyle w:val="Prrafodelista"/>
              <w:numPr>
                <w:ilvl w:val="0"/>
                <w:numId w:val="15"/>
              </w:numPr>
              <w:jc w:val="both"/>
              <w:rPr>
                <w:rFonts w:ascii="Arial" w:eastAsia="Times New Roman" w:hAnsi="Arial" w:cs="Arial"/>
                <w:sz w:val="20"/>
                <w:szCs w:val="20"/>
                <w:lang w:eastAsia="es-CO"/>
              </w:rPr>
            </w:pPr>
            <w:r w:rsidRPr="00B84326">
              <w:rPr>
                <w:rFonts w:ascii="Arial" w:eastAsia="Times New Roman" w:hAnsi="Arial" w:cs="Arial"/>
                <w:sz w:val="20"/>
                <w:szCs w:val="20"/>
                <w:lang w:eastAsia="es-CO"/>
              </w:rPr>
              <w:t xml:space="preserve">Generación de </w:t>
            </w:r>
            <w:r w:rsidR="00073796" w:rsidRPr="00B84326">
              <w:rPr>
                <w:rFonts w:ascii="Arial" w:eastAsia="Times New Roman" w:hAnsi="Arial" w:cs="Arial"/>
                <w:sz w:val="20"/>
                <w:szCs w:val="20"/>
                <w:lang w:eastAsia="es-CO"/>
              </w:rPr>
              <w:t>Logs de auditorias</w:t>
            </w:r>
          </w:p>
          <w:p w14:paraId="777C806C" w14:textId="3377518E" w:rsidR="00073796" w:rsidRPr="00B84326" w:rsidRDefault="00073796" w:rsidP="008A44C0">
            <w:pPr>
              <w:pStyle w:val="Prrafodelista"/>
              <w:numPr>
                <w:ilvl w:val="0"/>
                <w:numId w:val="15"/>
              </w:numPr>
              <w:jc w:val="both"/>
              <w:rPr>
                <w:rFonts w:ascii="Arial" w:eastAsia="Times New Roman" w:hAnsi="Arial" w:cs="Arial"/>
                <w:sz w:val="20"/>
                <w:szCs w:val="20"/>
                <w:lang w:eastAsia="es-CO"/>
              </w:rPr>
            </w:pPr>
            <w:r w:rsidRPr="00B84326">
              <w:rPr>
                <w:rFonts w:ascii="Arial" w:eastAsia="Times New Roman" w:hAnsi="Arial" w:cs="Arial"/>
                <w:sz w:val="20"/>
                <w:szCs w:val="20"/>
                <w:lang w:eastAsia="es-CO"/>
              </w:rPr>
              <w:t>Almacenamiento de soporte</w:t>
            </w:r>
            <w:r w:rsidR="00B36FE5">
              <w:rPr>
                <w:rFonts w:ascii="Arial" w:eastAsia="Times New Roman" w:hAnsi="Arial" w:cs="Arial"/>
                <w:sz w:val="20"/>
                <w:szCs w:val="20"/>
                <w:lang w:eastAsia="es-CO"/>
              </w:rPr>
              <w:t>s (documentos)</w:t>
            </w:r>
            <w:r w:rsidRPr="00B84326">
              <w:rPr>
                <w:rFonts w:ascii="Arial" w:eastAsia="Times New Roman" w:hAnsi="Arial" w:cs="Arial"/>
                <w:sz w:val="20"/>
                <w:szCs w:val="20"/>
                <w:lang w:eastAsia="es-CO"/>
              </w:rPr>
              <w:t xml:space="preserve"> del incidente en</w:t>
            </w:r>
            <w:r w:rsidR="00B36FE5">
              <w:rPr>
                <w:rFonts w:ascii="Arial" w:eastAsia="Times New Roman" w:hAnsi="Arial" w:cs="Arial"/>
                <w:sz w:val="20"/>
                <w:szCs w:val="20"/>
                <w:lang w:eastAsia="es-CO"/>
              </w:rPr>
              <w:t xml:space="preserve"> formato</w:t>
            </w:r>
            <w:r w:rsidRPr="00B84326">
              <w:rPr>
                <w:rFonts w:ascii="Arial" w:eastAsia="Times New Roman" w:hAnsi="Arial" w:cs="Arial"/>
                <w:sz w:val="20"/>
                <w:szCs w:val="20"/>
                <w:lang w:eastAsia="es-CO"/>
              </w:rPr>
              <w:t xml:space="preserve"> PDF.</w:t>
            </w:r>
            <w:r w:rsidR="00CE4D06">
              <w:rPr>
                <w:rFonts w:ascii="Arial" w:eastAsia="Times New Roman" w:hAnsi="Arial" w:cs="Arial"/>
                <w:sz w:val="20"/>
                <w:szCs w:val="20"/>
                <w:lang w:eastAsia="es-CO"/>
              </w:rPr>
              <w:t xml:space="preserve"> </w:t>
            </w:r>
          </w:p>
          <w:p w14:paraId="58AACB23" w14:textId="77777777" w:rsidR="008A44C0" w:rsidRDefault="008A44C0" w:rsidP="008A44C0">
            <w:pPr>
              <w:pStyle w:val="Prrafodelista"/>
              <w:numPr>
                <w:ilvl w:val="0"/>
                <w:numId w:val="15"/>
              </w:numPr>
              <w:spacing w:line="256" w:lineRule="auto"/>
              <w:rPr>
                <w:rStyle w:val="normaltextrun"/>
                <w:rFonts w:ascii="Calibri" w:hAnsi="Calibri"/>
                <w:shd w:val="clear" w:color="auto" w:fill="FFFFFF"/>
              </w:rPr>
            </w:pPr>
            <w:r>
              <w:rPr>
                <w:rStyle w:val="normaltextrun"/>
                <w:rFonts w:ascii="Calibri" w:hAnsi="Calibri"/>
                <w:shd w:val="clear" w:color="auto" w:fill="FFFFFF"/>
              </w:rPr>
              <w:t xml:space="preserve">Soporte técnico deber ser ingeniero 5x8 telefónico con un tiempo de respuesta de máximo 30 minutos, en caso de no poder resolver el problema presentado, se debe hacer la atención en la Oficina de Telemática de la Policía Nacional </w:t>
            </w:r>
            <w:proofErr w:type="spellStart"/>
            <w:r>
              <w:rPr>
                <w:rStyle w:val="normaltextrun"/>
                <w:rFonts w:ascii="Calibri" w:hAnsi="Calibri"/>
                <w:shd w:val="clear" w:color="auto" w:fill="FFFFFF"/>
              </w:rPr>
              <w:t>Cra</w:t>
            </w:r>
            <w:proofErr w:type="spellEnd"/>
            <w:r>
              <w:rPr>
                <w:rStyle w:val="normaltextrun"/>
                <w:rFonts w:ascii="Calibri" w:hAnsi="Calibri"/>
                <w:shd w:val="clear" w:color="auto" w:fill="FFFFFF"/>
              </w:rPr>
              <w:t xml:space="preserve"> 59 No 26-21 Bogotá.</w:t>
            </w:r>
          </w:p>
          <w:p w14:paraId="2B3FF5E7" w14:textId="7B702715" w:rsidR="008A44C0" w:rsidRDefault="008A44C0" w:rsidP="008A44C0">
            <w:pPr>
              <w:pStyle w:val="Prrafodelista"/>
              <w:numPr>
                <w:ilvl w:val="0"/>
                <w:numId w:val="15"/>
              </w:numPr>
              <w:spacing w:line="256" w:lineRule="auto"/>
              <w:rPr>
                <w:rStyle w:val="normaltextrun"/>
                <w:rFonts w:ascii="Calibri" w:hAnsi="Calibri"/>
                <w:shd w:val="clear" w:color="auto" w:fill="FFFFFF"/>
              </w:rPr>
            </w:pPr>
            <w:r>
              <w:rPr>
                <w:rStyle w:val="normaltextrun"/>
                <w:rFonts w:ascii="Calibri" w:hAnsi="Calibri"/>
                <w:shd w:val="clear" w:color="auto" w:fill="FFFFFF"/>
              </w:rPr>
              <w:t>La garantía debe ser para la totalidad de la solución.</w:t>
            </w:r>
          </w:p>
          <w:p w14:paraId="4FC95FE1" w14:textId="688830AD" w:rsidR="008A44C0" w:rsidRDefault="008A44C0" w:rsidP="008A44C0">
            <w:pPr>
              <w:pStyle w:val="Prrafodelista"/>
              <w:numPr>
                <w:ilvl w:val="0"/>
                <w:numId w:val="15"/>
              </w:numPr>
              <w:spacing w:line="256" w:lineRule="auto"/>
              <w:rPr>
                <w:rStyle w:val="normaltextrun"/>
                <w:rFonts w:ascii="Calibri" w:hAnsi="Calibri"/>
                <w:shd w:val="clear" w:color="auto" w:fill="FFFFFF"/>
              </w:rPr>
            </w:pPr>
            <w:r>
              <w:rPr>
                <w:rStyle w:val="normaltextrun"/>
                <w:rFonts w:ascii="Calibri" w:hAnsi="Calibri"/>
                <w:shd w:val="clear" w:color="auto" w:fill="FFFFFF"/>
              </w:rPr>
              <w:t>Realizar todas las actualizaciones liberadas de la solución contratada, durante el tiempo que dure el servicio.</w:t>
            </w:r>
          </w:p>
          <w:p w14:paraId="6653FC12" w14:textId="6FE99390" w:rsidR="009B794B" w:rsidRDefault="009B794B" w:rsidP="009B794B">
            <w:pPr>
              <w:pStyle w:val="Prrafodelista"/>
              <w:numPr>
                <w:ilvl w:val="0"/>
                <w:numId w:val="15"/>
              </w:numPr>
              <w:spacing w:line="256" w:lineRule="auto"/>
              <w:rPr>
                <w:rFonts w:ascii="Arial" w:eastAsia="Times New Roman" w:hAnsi="Arial" w:cs="Arial"/>
                <w:sz w:val="20"/>
                <w:szCs w:val="20"/>
                <w:lang w:eastAsia="es-CO"/>
              </w:rPr>
            </w:pPr>
            <w:r w:rsidRPr="009B794B">
              <w:rPr>
                <w:rFonts w:ascii="Arial" w:eastAsia="Times New Roman" w:hAnsi="Arial" w:cs="Arial"/>
                <w:sz w:val="20"/>
                <w:szCs w:val="20"/>
                <w:lang w:eastAsia="es-CO"/>
              </w:rPr>
              <w:t>La herramienta debe permitir construir una base de conocimiento, con la información de los incidentes registrados.</w:t>
            </w:r>
          </w:p>
          <w:p w14:paraId="5F0C71FD" w14:textId="77777777" w:rsidR="009B794B" w:rsidRPr="009B794B" w:rsidRDefault="009B794B" w:rsidP="009B794B">
            <w:pPr>
              <w:pStyle w:val="Prrafodelista"/>
              <w:numPr>
                <w:ilvl w:val="0"/>
                <w:numId w:val="15"/>
              </w:numPr>
              <w:spacing w:line="256" w:lineRule="auto"/>
              <w:rPr>
                <w:rFonts w:ascii="Arial" w:eastAsia="Times New Roman" w:hAnsi="Arial" w:cs="Arial"/>
                <w:sz w:val="20"/>
                <w:szCs w:val="20"/>
                <w:lang w:eastAsia="es-CO"/>
              </w:rPr>
            </w:pPr>
            <w:r w:rsidRPr="009B794B">
              <w:rPr>
                <w:rFonts w:ascii="Arial" w:eastAsia="Times New Roman" w:hAnsi="Arial" w:cs="Arial"/>
                <w:sz w:val="20"/>
                <w:szCs w:val="20"/>
                <w:lang w:eastAsia="es-CO"/>
              </w:rPr>
              <w:t>La herramienta debe permitir enviar notificaciones, cuando se realicen actualizaciones en el estado de los incidentes.</w:t>
            </w:r>
          </w:p>
          <w:p w14:paraId="777A4CBF" w14:textId="77777777" w:rsidR="009B794B" w:rsidRDefault="009B794B" w:rsidP="009B794B">
            <w:pPr>
              <w:pStyle w:val="Prrafodelista"/>
              <w:numPr>
                <w:ilvl w:val="0"/>
                <w:numId w:val="15"/>
              </w:numPr>
              <w:spacing w:line="256" w:lineRule="auto"/>
              <w:rPr>
                <w:rFonts w:ascii="Arial" w:eastAsia="Times New Roman" w:hAnsi="Arial" w:cs="Arial"/>
                <w:sz w:val="20"/>
                <w:szCs w:val="20"/>
                <w:lang w:eastAsia="es-CO"/>
              </w:rPr>
            </w:pPr>
            <w:r w:rsidRPr="009B794B">
              <w:rPr>
                <w:rFonts w:ascii="Arial" w:eastAsia="Times New Roman" w:hAnsi="Arial" w:cs="Arial"/>
                <w:sz w:val="20"/>
                <w:szCs w:val="20"/>
                <w:lang w:eastAsia="es-CO"/>
              </w:rPr>
              <w:t>La herramienta debe permitir extraer la información de los correos configurados en un buzón específico</w:t>
            </w:r>
            <w:r w:rsidR="00CE4D06">
              <w:rPr>
                <w:rFonts w:ascii="Arial" w:eastAsia="Times New Roman" w:hAnsi="Arial" w:cs="Arial"/>
                <w:sz w:val="20"/>
                <w:szCs w:val="20"/>
                <w:lang w:eastAsia="es-CO"/>
              </w:rPr>
              <w:t>,</w:t>
            </w:r>
            <w:r w:rsidRPr="009B794B">
              <w:rPr>
                <w:rFonts w:ascii="Arial" w:eastAsia="Times New Roman" w:hAnsi="Arial" w:cs="Arial"/>
                <w:sz w:val="20"/>
                <w:szCs w:val="20"/>
                <w:lang w:eastAsia="es-CO"/>
              </w:rPr>
              <w:t xml:space="preserve"> </w:t>
            </w:r>
            <w:r>
              <w:rPr>
                <w:rFonts w:ascii="Arial" w:eastAsia="Times New Roman" w:hAnsi="Arial" w:cs="Arial"/>
                <w:sz w:val="20"/>
                <w:szCs w:val="20"/>
                <w:lang w:eastAsia="es-CO"/>
              </w:rPr>
              <w:t>con el fin de que permita crear los tiquetes de manera automática, a partir de las alertas enviadas por herramientas de seguridad</w:t>
            </w:r>
            <w:r w:rsidR="00CE4D06">
              <w:rPr>
                <w:rFonts w:ascii="Arial" w:eastAsia="Times New Roman" w:hAnsi="Arial" w:cs="Arial"/>
                <w:sz w:val="20"/>
                <w:szCs w:val="20"/>
                <w:lang w:eastAsia="es-CO"/>
              </w:rPr>
              <w:t>, al buzón mencionado</w:t>
            </w:r>
          </w:p>
          <w:p w14:paraId="23905B5D" w14:textId="77777777" w:rsidR="0024267B" w:rsidRDefault="0024267B" w:rsidP="009B794B">
            <w:pPr>
              <w:pStyle w:val="Prrafodelista"/>
              <w:numPr>
                <w:ilvl w:val="0"/>
                <w:numId w:val="15"/>
              </w:numPr>
              <w:spacing w:line="256" w:lineRule="auto"/>
              <w:rPr>
                <w:rFonts w:ascii="Arial" w:eastAsia="Times New Roman" w:hAnsi="Arial" w:cs="Arial"/>
                <w:sz w:val="20"/>
                <w:szCs w:val="20"/>
                <w:lang w:eastAsia="es-CO"/>
              </w:rPr>
            </w:pPr>
            <w:r>
              <w:rPr>
                <w:rFonts w:ascii="Arial" w:eastAsia="Times New Roman" w:hAnsi="Arial" w:cs="Arial"/>
                <w:sz w:val="20"/>
                <w:szCs w:val="20"/>
                <w:lang w:eastAsia="es-CO"/>
              </w:rPr>
              <w:t>La herramienta debe permitir configurar listas desplegables de acuerdo a la clasificación del incidente.</w:t>
            </w:r>
          </w:p>
          <w:p w14:paraId="33E8F603" w14:textId="6AA6B873" w:rsidR="0024267B" w:rsidRPr="009B794B" w:rsidRDefault="0024267B" w:rsidP="00BA7AA3">
            <w:pPr>
              <w:pStyle w:val="Prrafodelista"/>
              <w:numPr>
                <w:ilvl w:val="0"/>
                <w:numId w:val="15"/>
              </w:numPr>
              <w:spacing w:line="256" w:lineRule="auto"/>
              <w:rPr>
                <w:rFonts w:ascii="Arial" w:eastAsia="Times New Roman" w:hAnsi="Arial" w:cs="Arial"/>
                <w:sz w:val="20"/>
                <w:szCs w:val="20"/>
                <w:lang w:eastAsia="es-CO"/>
              </w:rPr>
            </w:pPr>
            <w:r>
              <w:rPr>
                <w:rFonts w:ascii="Arial" w:eastAsia="Times New Roman" w:hAnsi="Arial" w:cs="Arial"/>
                <w:sz w:val="20"/>
                <w:szCs w:val="20"/>
                <w:lang w:eastAsia="es-CO"/>
              </w:rPr>
              <w:t xml:space="preserve">La herramienta debe permitir configurar plantillas diligenciadas previamente con </w:t>
            </w:r>
            <w:r w:rsidR="00BA7AA3">
              <w:rPr>
                <w:rFonts w:ascii="Arial" w:eastAsia="Times New Roman" w:hAnsi="Arial" w:cs="Arial"/>
                <w:sz w:val="20"/>
                <w:szCs w:val="20"/>
                <w:lang w:eastAsia="es-CO"/>
              </w:rPr>
              <w:t>la información de la respuesta del incidente,</w:t>
            </w:r>
            <w:r>
              <w:rPr>
                <w:rFonts w:ascii="Arial" w:eastAsia="Times New Roman" w:hAnsi="Arial" w:cs="Arial"/>
                <w:sz w:val="20"/>
                <w:szCs w:val="20"/>
                <w:lang w:eastAsia="es-CO"/>
              </w:rPr>
              <w:t xml:space="preserve"> dependiendo del tipo.</w:t>
            </w:r>
          </w:p>
        </w:tc>
      </w:tr>
      <w:tr w:rsidR="00A57A38" w:rsidRPr="00D7302F" w14:paraId="79626FD4" w14:textId="77777777" w:rsidTr="00607F80">
        <w:trPr>
          <w:trHeight w:val="9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314A4457" w14:textId="72C2A394"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lastRenderedPageBreak/>
              <w:t>Obligaciones técnicas específicas que deberá cumplir ACAC para la ejecución del contrato</w:t>
            </w:r>
          </w:p>
        </w:tc>
        <w:tc>
          <w:tcPr>
            <w:tcW w:w="3803" w:type="pct"/>
            <w:tcBorders>
              <w:top w:val="single" w:sz="4" w:space="0" w:color="auto"/>
              <w:left w:val="nil"/>
              <w:bottom w:val="single" w:sz="4" w:space="0" w:color="auto"/>
              <w:right w:val="double" w:sz="6" w:space="0" w:color="000000"/>
            </w:tcBorders>
            <w:shd w:val="clear" w:color="auto" w:fill="auto"/>
            <w:noWrap/>
            <w:vAlign w:val="center"/>
            <w:hideMark/>
          </w:tcPr>
          <w:p w14:paraId="06DDFE30" w14:textId="0C8FC09D" w:rsidR="00EA4AEA" w:rsidRPr="00EA4AEA" w:rsidRDefault="00EA4AEA" w:rsidP="00EA4AEA">
            <w:pPr>
              <w:pStyle w:val="Prrafodelista"/>
              <w:numPr>
                <w:ilvl w:val="0"/>
                <w:numId w:val="8"/>
              </w:numPr>
              <w:spacing w:after="0" w:line="240" w:lineRule="auto"/>
              <w:ind w:left="357" w:hanging="285"/>
              <w:rPr>
                <w:rFonts w:ascii="Arial" w:eastAsia="Times New Roman" w:hAnsi="Arial" w:cs="Arial"/>
                <w:color w:val="000000"/>
                <w:sz w:val="20"/>
                <w:szCs w:val="20"/>
                <w:lang w:eastAsia="es-CO"/>
              </w:rPr>
            </w:pPr>
            <w:r w:rsidRPr="00EA4AEA">
              <w:rPr>
                <w:rFonts w:ascii="Arial" w:eastAsia="Times New Roman" w:hAnsi="Arial" w:cs="Arial"/>
                <w:color w:val="000000"/>
                <w:sz w:val="20"/>
                <w:szCs w:val="20"/>
                <w:lang w:eastAsia="es-CO"/>
              </w:rPr>
              <w:t>Pagar el valor de</w:t>
            </w:r>
            <w:r w:rsidR="00A869E6">
              <w:rPr>
                <w:rFonts w:ascii="Arial" w:eastAsia="Times New Roman" w:hAnsi="Arial" w:cs="Arial"/>
                <w:color w:val="000000"/>
                <w:sz w:val="20"/>
                <w:szCs w:val="20"/>
                <w:lang w:eastAsia="es-CO"/>
              </w:rPr>
              <w:t xml:space="preserve"> la contratación</w:t>
            </w:r>
            <w:r w:rsidRPr="00EA4AEA">
              <w:rPr>
                <w:rFonts w:ascii="Arial" w:eastAsia="Times New Roman" w:hAnsi="Arial" w:cs="Arial"/>
                <w:color w:val="000000"/>
                <w:sz w:val="20"/>
                <w:szCs w:val="20"/>
                <w:lang w:eastAsia="es-CO"/>
              </w:rPr>
              <w:t xml:space="preserve">, en la forma, fechas y bajo las condiciones señaladas más adelante. </w:t>
            </w:r>
          </w:p>
          <w:p w14:paraId="7B08705C" w14:textId="77777777" w:rsidR="00EA4AEA" w:rsidRDefault="00EA4AEA" w:rsidP="00EA4AEA">
            <w:pPr>
              <w:pStyle w:val="Prrafodelista"/>
              <w:numPr>
                <w:ilvl w:val="0"/>
                <w:numId w:val="8"/>
              </w:numPr>
              <w:spacing w:after="0" w:line="240" w:lineRule="auto"/>
              <w:ind w:left="357" w:hanging="285"/>
              <w:rPr>
                <w:rFonts w:ascii="Arial" w:eastAsia="Times New Roman" w:hAnsi="Arial" w:cs="Arial"/>
                <w:color w:val="000000"/>
                <w:sz w:val="20"/>
                <w:szCs w:val="20"/>
                <w:lang w:eastAsia="es-CO"/>
              </w:rPr>
            </w:pPr>
            <w:r w:rsidRPr="00EA4AEA">
              <w:rPr>
                <w:rFonts w:ascii="Arial" w:eastAsia="Times New Roman" w:hAnsi="Arial" w:cs="Arial"/>
                <w:color w:val="000000"/>
                <w:sz w:val="20"/>
                <w:szCs w:val="20"/>
                <w:lang w:eastAsia="es-CO"/>
              </w:rPr>
              <w:t xml:space="preserve">Verificar la afiliación y pago de aportes que EL CONTRATISTA debe efectuar al Sistema de Seguridad Social y ARL como independiente. </w:t>
            </w:r>
          </w:p>
          <w:p w14:paraId="0E0F3B4B" w14:textId="342B4525" w:rsidR="00A57A38" w:rsidRPr="00EA4AEA" w:rsidRDefault="00EA4AEA" w:rsidP="00EA4AEA">
            <w:pPr>
              <w:pStyle w:val="Prrafodelista"/>
              <w:numPr>
                <w:ilvl w:val="0"/>
                <w:numId w:val="8"/>
              </w:numPr>
              <w:spacing w:after="0" w:line="240" w:lineRule="auto"/>
              <w:ind w:left="357" w:hanging="285"/>
              <w:rPr>
                <w:rFonts w:ascii="Arial" w:eastAsia="Times New Roman" w:hAnsi="Arial" w:cs="Arial"/>
                <w:color w:val="000000"/>
                <w:sz w:val="20"/>
                <w:szCs w:val="20"/>
                <w:lang w:eastAsia="es-CO"/>
              </w:rPr>
            </w:pPr>
            <w:r w:rsidRPr="00EA4AEA">
              <w:rPr>
                <w:rFonts w:ascii="Arial" w:eastAsia="Times New Roman" w:hAnsi="Arial" w:cs="Arial"/>
                <w:color w:val="000000"/>
                <w:sz w:val="20"/>
                <w:szCs w:val="20"/>
                <w:lang w:eastAsia="es-CO"/>
              </w:rPr>
              <w:t>Vigilar la debida y oportuna ejecución del contrato y el cumplimiento de todas las obligaciones contractuales a cargo de EL CONTRATISTA.</w:t>
            </w:r>
          </w:p>
        </w:tc>
      </w:tr>
      <w:tr w:rsidR="00A57A38" w:rsidRPr="00D7302F" w14:paraId="6676DDAD" w14:textId="77777777" w:rsidTr="00607F80">
        <w:trPr>
          <w:trHeight w:val="3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50691213"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bookmarkStart w:id="1" w:name="_Hlk19706619"/>
            <w:r w:rsidRPr="00D7302F">
              <w:rPr>
                <w:rFonts w:ascii="Arial" w:eastAsia="Times New Roman" w:hAnsi="Arial" w:cs="Arial"/>
                <w:b/>
                <w:bCs/>
                <w:color w:val="000000"/>
                <w:sz w:val="20"/>
                <w:szCs w:val="20"/>
                <w:lang w:eastAsia="es-CO"/>
              </w:rPr>
              <w:t>Duración del Contrato:</w:t>
            </w:r>
          </w:p>
        </w:tc>
        <w:tc>
          <w:tcPr>
            <w:tcW w:w="3803" w:type="pct"/>
            <w:tcBorders>
              <w:top w:val="single" w:sz="4" w:space="0" w:color="auto"/>
              <w:left w:val="nil"/>
              <w:bottom w:val="single" w:sz="4" w:space="0" w:color="auto"/>
              <w:right w:val="double" w:sz="6" w:space="0" w:color="000000"/>
            </w:tcBorders>
            <w:shd w:val="clear" w:color="auto" w:fill="auto"/>
            <w:noWrap/>
            <w:vAlign w:val="center"/>
            <w:hideMark/>
          </w:tcPr>
          <w:p w14:paraId="69E738B1" w14:textId="5F6B9A65" w:rsidR="00A57A38" w:rsidRPr="00D7302F" w:rsidRDefault="008A44C0" w:rsidP="00A57A38">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w:t>
            </w:r>
            <w:r w:rsidR="00D7302F" w:rsidRPr="00D7302F">
              <w:rPr>
                <w:rFonts w:ascii="Arial" w:eastAsia="Times New Roman" w:hAnsi="Arial" w:cs="Arial"/>
                <w:color w:val="000000"/>
                <w:sz w:val="20"/>
                <w:szCs w:val="20"/>
                <w:lang w:eastAsia="es-CO"/>
              </w:rPr>
              <w:t xml:space="preserve"> meses</w:t>
            </w:r>
            <w:r w:rsidR="006E6673" w:rsidRPr="00D7302F">
              <w:rPr>
                <w:rFonts w:ascii="Arial" w:eastAsia="Times New Roman" w:hAnsi="Arial" w:cs="Arial"/>
                <w:color w:val="000000"/>
                <w:sz w:val="20"/>
                <w:szCs w:val="20"/>
                <w:lang w:eastAsia="es-CO"/>
              </w:rPr>
              <w:t> </w:t>
            </w:r>
            <w:r w:rsidR="00A57A38" w:rsidRPr="00D7302F">
              <w:rPr>
                <w:rFonts w:ascii="Arial" w:eastAsia="Times New Roman" w:hAnsi="Arial" w:cs="Arial"/>
                <w:color w:val="000000"/>
                <w:sz w:val="20"/>
                <w:szCs w:val="20"/>
                <w:lang w:eastAsia="es-CO"/>
              </w:rPr>
              <w:t> </w:t>
            </w:r>
          </w:p>
        </w:tc>
      </w:tr>
      <w:tr w:rsidR="00A57A38" w:rsidRPr="00D7302F" w14:paraId="005FEA0B" w14:textId="77777777" w:rsidTr="00607F80">
        <w:trPr>
          <w:trHeight w:val="3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79232DF4"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Valor estimado del contrato:</w:t>
            </w:r>
          </w:p>
        </w:tc>
        <w:tc>
          <w:tcPr>
            <w:tcW w:w="3803" w:type="pct"/>
            <w:tcBorders>
              <w:top w:val="single" w:sz="4" w:space="0" w:color="auto"/>
              <w:left w:val="nil"/>
              <w:bottom w:val="single" w:sz="4" w:space="0" w:color="auto"/>
              <w:right w:val="double" w:sz="6" w:space="0" w:color="000000"/>
            </w:tcBorders>
            <w:shd w:val="clear" w:color="auto" w:fill="auto"/>
            <w:noWrap/>
            <w:vAlign w:val="center"/>
            <w:hideMark/>
          </w:tcPr>
          <w:p w14:paraId="55A6F05C" w14:textId="0026B449" w:rsidR="00A57A38" w:rsidRPr="00D7302F" w:rsidRDefault="004653B3" w:rsidP="00D7302F">
            <w:pPr>
              <w:spacing w:after="0" w:line="240" w:lineRule="auto"/>
              <w:jc w:val="center"/>
              <w:rPr>
                <w:rFonts w:ascii="Arial" w:eastAsia="Times New Roman" w:hAnsi="Arial" w:cs="Arial"/>
                <w:color w:val="000000"/>
                <w:sz w:val="20"/>
                <w:szCs w:val="20"/>
                <w:lang w:eastAsia="es-CO"/>
              </w:rPr>
            </w:pPr>
            <w:r>
              <w:rPr>
                <w:rFonts w:ascii="Arial Narrow" w:hAnsi="Arial Narrow"/>
              </w:rPr>
              <w:t>$167,790,000 IVA INCLUIDO</w:t>
            </w:r>
          </w:p>
        </w:tc>
      </w:tr>
      <w:tr w:rsidR="00A57A38" w:rsidRPr="00D7302F" w14:paraId="63F10002" w14:textId="77777777" w:rsidTr="00607F80">
        <w:trPr>
          <w:trHeight w:val="300"/>
        </w:trPr>
        <w:tc>
          <w:tcPr>
            <w:tcW w:w="1197" w:type="pct"/>
            <w:tcBorders>
              <w:top w:val="nil"/>
              <w:left w:val="double" w:sz="6" w:space="0" w:color="auto"/>
              <w:bottom w:val="single" w:sz="4" w:space="0" w:color="auto"/>
              <w:right w:val="single" w:sz="4" w:space="0" w:color="auto"/>
            </w:tcBorders>
            <w:shd w:val="clear" w:color="auto" w:fill="auto"/>
            <w:vAlign w:val="center"/>
            <w:hideMark/>
          </w:tcPr>
          <w:p w14:paraId="7AA25BB2" w14:textId="0F861656"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t>Documentos Anexos</w:t>
            </w:r>
            <w:r w:rsidR="002F0280">
              <w:rPr>
                <w:rFonts w:ascii="Arial" w:eastAsia="Times New Roman" w:hAnsi="Arial" w:cs="Arial"/>
                <w:b/>
                <w:bCs/>
                <w:color w:val="000000"/>
                <w:sz w:val="20"/>
                <w:szCs w:val="20"/>
                <w:lang w:eastAsia="es-CO"/>
              </w:rPr>
              <w:t xml:space="preserve"> requeridos</w:t>
            </w:r>
            <w:r w:rsidRPr="00D7302F">
              <w:rPr>
                <w:rFonts w:ascii="Arial" w:eastAsia="Times New Roman" w:hAnsi="Arial" w:cs="Arial"/>
                <w:b/>
                <w:bCs/>
                <w:color w:val="000000"/>
                <w:sz w:val="20"/>
                <w:szCs w:val="20"/>
                <w:lang w:eastAsia="es-CO"/>
              </w:rPr>
              <w:t>:</w:t>
            </w:r>
          </w:p>
        </w:tc>
        <w:tc>
          <w:tcPr>
            <w:tcW w:w="3803" w:type="pct"/>
            <w:tcBorders>
              <w:top w:val="single" w:sz="4" w:space="0" w:color="auto"/>
              <w:left w:val="nil"/>
              <w:bottom w:val="single" w:sz="4" w:space="0" w:color="auto"/>
              <w:right w:val="double" w:sz="6" w:space="0" w:color="000000"/>
            </w:tcBorders>
            <w:shd w:val="clear" w:color="auto" w:fill="auto"/>
            <w:vAlign w:val="bottom"/>
            <w:hideMark/>
          </w:tcPr>
          <w:p w14:paraId="45CA407A" w14:textId="77777777" w:rsidR="008A44C0" w:rsidRPr="008A44C0" w:rsidRDefault="008A44C0" w:rsidP="008A44C0">
            <w:pPr>
              <w:pStyle w:val="Prrafodelista"/>
              <w:numPr>
                <w:ilvl w:val="0"/>
                <w:numId w:val="9"/>
              </w:numPr>
              <w:spacing w:after="0" w:line="240" w:lineRule="auto"/>
              <w:ind w:left="357"/>
              <w:rPr>
                <w:rFonts w:ascii="Arial" w:eastAsia="Times New Roman" w:hAnsi="Arial" w:cs="Arial"/>
                <w:color w:val="000000"/>
                <w:sz w:val="20"/>
                <w:szCs w:val="20"/>
                <w:lang w:eastAsia="es-CO"/>
              </w:rPr>
            </w:pPr>
            <w:r w:rsidRPr="008A44C0">
              <w:rPr>
                <w:rFonts w:ascii="Arial" w:eastAsia="Times New Roman" w:hAnsi="Arial" w:cs="Arial"/>
                <w:color w:val="000000"/>
                <w:sz w:val="20"/>
                <w:szCs w:val="20"/>
                <w:lang w:eastAsia="es-CO"/>
              </w:rPr>
              <w:t>Acuerdos de Niveles de Servicios</w:t>
            </w:r>
          </w:p>
          <w:p w14:paraId="7B187197" w14:textId="77777777" w:rsidR="008A44C0" w:rsidRPr="008A44C0" w:rsidRDefault="008A44C0" w:rsidP="008A44C0">
            <w:pPr>
              <w:pStyle w:val="Prrafodelista"/>
              <w:numPr>
                <w:ilvl w:val="0"/>
                <w:numId w:val="9"/>
              </w:numPr>
              <w:spacing w:after="0" w:line="240" w:lineRule="auto"/>
              <w:ind w:left="357"/>
              <w:rPr>
                <w:rFonts w:ascii="Arial" w:eastAsia="Times New Roman" w:hAnsi="Arial" w:cs="Arial"/>
                <w:color w:val="000000"/>
                <w:sz w:val="20"/>
                <w:szCs w:val="20"/>
                <w:lang w:eastAsia="es-CO"/>
              </w:rPr>
            </w:pPr>
            <w:r w:rsidRPr="008A44C0">
              <w:rPr>
                <w:rFonts w:ascii="Arial" w:eastAsia="Times New Roman" w:hAnsi="Arial" w:cs="Arial"/>
                <w:color w:val="000000"/>
                <w:sz w:val="20"/>
                <w:szCs w:val="20"/>
                <w:lang w:eastAsia="es-CO"/>
              </w:rPr>
              <w:t>Protocolo de escalabilidad soporte técnico a problemas con el servicio.</w:t>
            </w:r>
          </w:p>
          <w:p w14:paraId="73CAB5EC" w14:textId="77777777" w:rsidR="008A44C0" w:rsidRPr="008A44C0" w:rsidRDefault="008A44C0" w:rsidP="008A44C0">
            <w:pPr>
              <w:pStyle w:val="Prrafodelista"/>
              <w:numPr>
                <w:ilvl w:val="0"/>
                <w:numId w:val="9"/>
              </w:numPr>
              <w:spacing w:after="0" w:line="240" w:lineRule="auto"/>
              <w:ind w:left="357"/>
              <w:rPr>
                <w:rFonts w:ascii="Arial" w:eastAsia="Times New Roman" w:hAnsi="Arial" w:cs="Arial"/>
                <w:color w:val="000000"/>
                <w:sz w:val="20"/>
                <w:szCs w:val="20"/>
                <w:lang w:eastAsia="es-CO"/>
              </w:rPr>
            </w:pPr>
            <w:r w:rsidRPr="008A44C0">
              <w:rPr>
                <w:rFonts w:ascii="Arial" w:eastAsia="Times New Roman" w:hAnsi="Arial" w:cs="Arial"/>
                <w:color w:val="000000"/>
                <w:sz w:val="20"/>
                <w:szCs w:val="20"/>
                <w:lang w:eastAsia="es-CO"/>
              </w:rPr>
              <w:t>Acuerdos de confidencialidad</w:t>
            </w:r>
          </w:p>
          <w:p w14:paraId="42B2198B" w14:textId="2613917F" w:rsidR="008A44C0" w:rsidRDefault="008A44C0" w:rsidP="008A44C0">
            <w:pPr>
              <w:pStyle w:val="Prrafodelista"/>
              <w:numPr>
                <w:ilvl w:val="0"/>
                <w:numId w:val="9"/>
              </w:numPr>
              <w:spacing w:after="0" w:line="240" w:lineRule="auto"/>
              <w:ind w:left="357"/>
              <w:rPr>
                <w:rFonts w:ascii="Arial" w:eastAsia="Times New Roman" w:hAnsi="Arial" w:cs="Arial"/>
                <w:color w:val="000000"/>
                <w:sz w:val="20"/>
                <w:szCs w:val="20"/>
                <w:lang w:eastAsia="es-CO"/>
              </w:rPr>
            </w:pPr>
            <w:r w:rsidRPr="008A44C0">
              <w:rPr>
                <w:rFonts w:ascii="Arial" w:eastAsia="Times New Roman" w:hAnsi="Arial" w:cs="Arial"/>
                <w:color w:val="000000"/>
                <w:sz w:val="20"/>
                <w:szCs w:val="20"/>
                <w:lang w:eastAsia="es-CO"/>
              </w:rPr>
              <w:t>Documentos requeridos por ACAC para realizar la contratación.</w:t>
            </w:r>
          </w:p>
          <w:p w14:paraId="57C18E13" w14:textId="435615E4" w:rsidR="002F0280" w:rsidRDefault="002F0280" w:rsidP="002F0280">
            <w:pPr>
              <w:pStyle w:val="Prrafodelista"/>
              <w:numPr>
                <w:ilvl w:val="1"/>
                <w:numId w:val="9"/>
              </w:num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Certificador de representación legal de cámara y comercio vigente</w:t>
            </w:r>
          </w:p>
          <w:p w14:paraId="74ED1D5F" w14:textId="0B917251" w:rsidR="002F0280" w:rsidRDefault="002F0280" w:rsidP="002F0280">
            <w:pPr>
              <w:pStyle w:val="Prrafodelista"/>
              <w:numPr>
                <w:ilvl w:val="1"/>
                <w:numId w:val="9"/>
              </w:num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Estados financieros con corte 31 de diciembre 208</w:t>
            </w:r>
          </w:p>
          <w:p w14:paraId="588CE31E" w14:textId="047D3962" w:rsidR="002F0280" w:rsidRDefault="002F0280" w:rsidP="002F0280">
            <w:pPr>
              <w:pStyle w:val="Prrafodelista"/>
              <w:numPr>
                <w:ilvl w:val="1"/>
                <w:numId w:val="9"/>
              </w:num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Carta de intención para la creación de unión temporal en caso que se requiera</w:t>
            </w:r>
          </w:p>
          <w:p w14:paraId="530F2171" w14:textId="33B9EDC8" w:rsidR="002F0280" w:rsidRPr="008A44C0" w:rsidRDefault="002F0280" w:rsidP="002F0280">
            <w:pPr>
              <w:pStyle w:val="Prrafodelista"/>
              <w:numPr>
                <w:ilvl w:val="1"/>
                <w:numId w:val="9"/>
              </w:numPr>
              <w:spacing w:after="0" w:line="240" w:lineRule="auto"/>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Carta de propuesta firmada por el representante legal</w:t>
            </w:r>
          </w:p>
          <w:p w14:paraId="458AB83F" w14:textId="77777777" w:rsidR="008A44C0" w:rsidRPr="008A44C0" w:rsidRDefault="008A44C0" w:rsidP="008A44C0">
            <w:pPr>
              <w:pStyle w:val="Prrafodelista"/>
              <w:numPr>
                <w:ilvl w:val="0"/>
                <w:numId w:val="9"/>
              </w:numPr>
              <w:spacing w:after="0" w:line="240" w:lineRule="auto"/>
              <w:ind w:left="357"/>
              <w:rPr>
                <w:rFonts w:ascii="Arial" w:eastAsia="Times New Roman" w:hAnsi="Arial" w:cs="Arial"/>
                <w:color w:val="000000"/>
                <w:sz w:val="20"/>
                <w:szCs w:val="20"/>
                <w:lang w:eastAsia="es-CO"/>
              </w:rPr>
            </w:pPr>
            <w:r w:rsidRPr="008A44C0">
              <w:rPr>
                <w:rFonts w:ascii="Arial" w:eastAsia="Times New Roman" w:hAnsi="Arial" w:cs="Arial"/>
                <w:color w:val="000000"/>
                <w:sz w:val="20"/>
                <w:szCs w:val="20"/>
                <w:lang w:eastAsia="es-CO"/>
              </w:rPr>
              <w:t>Cronograma de plan de implementación.</w:t>
            </w:r>
          </w:p>
          <w:p w14:paraId="41A4A23E" w14:textId="75CB1F0D" w:rsidR="008A44C0" w:rsidRPr="008A44C0" w:rsidRDefault="008A44C0" w:rsidP="008A44C0">
            <w:pPr>
              <w:pStyle w:val="Prrafodelista"/>
              <w:numPr>
                <w:ilvl w:val="0"/>
                <w:numId w:val="9"/>
              </w:numPr>
              <w:spacing w:after="0" w:line="240" w:lineRule="auto"/>
              <w:ind w:left="357"/>
              <w:rPr>
                <w:rFonts w:ascii="Arial Narrow" w:eastAsia="Times New Roman" w:hAnsi="Arial Narrow" w:cs="Calibri"/>
                <w:color w:val="000000"/>
                <w:sz w:val="20"/>
                <w:szCs w:val="20"/>
                <w:lang w:eastAsia="es-CO"/>
              </w:rPr>
            </w:pPr>
            <w:r w:rsidRPr="008A44C0">
              <w:rPr>
                <w:rFonts w:ascii="Arial" w:eastAsia="Times New Roman" w:hAnsi="Arial" w:cs="Arial"/>
                <w:color w:val="000000"/>
                <w:sz w:val="20"/>
                <w:szCs w:val="20"/>
                <w:lang w:eastAsia="es-CO"/>
              </w:rPr>
              <w:lastRenderedPageBreak/>
              <w:t>Documentación técnica</w:t>
            </w:r>
          </w:p>
        </w:tc>
      </w:tr>
      <w:bookmarkEnd w:id="1"/>
      <w:tr w:rsidR="00A57A38" w:rsidRPr="00D7302F" w14:paraId="5BD0BFE0" w14:textId="77777777" w:rsidTr="00607F80">
        <w:trPr>
          <w:trHeight w:val="450"/>
        </w:trPr>
        <w:tc>
          <w:tcPr>
            <w:tcW w:w="1197" w:type="pct"/>
            <w:vMerge w:val="restart"/>
            <w:tcBorders>
              <w:top w:val="nil"/>
              <w:left w:val="double" w:sz="6" w:space="0" w:color="auto"/>
              <w:bottom w:val="single" w:sz="4" w:space="0" w:color="auto"/>
              <w:right w:val="single" w:sz="4" w:space="0" w:color="auto"/>
            </w:tcBorders>
            <w:shd w:val="clear" w:color="auto" w:fill="auto"/>
            <w:vAlign w:val="center"/>
            <w:hideMark/>
          </w:tcPr>
          <w:p w14:paraId="2F9A449D" w14:textId="41408DFE" w:rsidR="00A57A38" w:rsidRPr="00D7302F" w:rsidRDefault="00A57A38" w:rsidP="00A57A38">
            <w:pPr>
              <w:spacing w:after="0" w:line="240" w:lineRule="auto"/>
              <w:rPr>
                <w:rFonts w:ascii="Arial" w:eastAsia="Times New Roman" w:hAnsi="Arial" w:cs="Arial"/>
                <w:b/>
                <w:bCs/>
                <w:color w:val="000000"/>
                <w:sz w:val="20"/>
                <w:szCs w:val="20"/>
                <w:lang w:eastAsia="es-CO"/>
              </w:rPr>
            </w:pPr>
            <w:r w:rsidRPr="00D7302F">
              <w:rPr>
                <w:rFonts w:ascii="Arial" w:eastAsia="Times New Roman" w:hAnsi="Arial" w:cs="Arial"/>
                <w:b/>
                <w:bCs/>
                <w:color w:val="000000"/>
                <w:sz w:val="20"/>
                <w:szCs w:val="20"/>
                <w:lang w:eastAsia="es-CO"/>
              </w:rPr>
              <w:lastRenderedPageBreak/>
              <w:t>Observaciones:</w:t>
            </w:r>
          </w:p>
        </w:tc>
        <w:tc>
          <w:tcPr>
            <w:tcW w:w="3803" w:type="pct"/>
            <w:vMerge w:val="restart"/>
            <w:tcBorders>
              <w:top w:val="single" w:sz="4" w:space="0" w:color="auto"/>
              <w:left w:val="single" w:sz="4" w:space="0" w:color="auto"/>
              <w:bottom w:val="single" w:sz="4" w:space="0" w:color="000000"/>
              <w:right w:val="double" w:sz="6" w:space="0" w:color="000000"/>
            </w:tcBorders>
            <w:shd w:val="clear" w:color="auto" w:fill="auto"/>
            <w:noWrap/>
            <w:vAlign w:val="center"/>
            <w:hideMark/>
          </w:tcPr>
          <w:p w14:paraId="4C47067D" w14:textId="77777777" w:rsidR="00A57A38" w:rsidRPr="00D7302F" w:rsidRDefault="006E6673" w:rsidP="00A57A38">
            <w:pPr>
              <w:spacing w:after="0" w:line="240" w:lineRule="auto"/>
              <w:jc w:val="center"/>
              <w:rPr>
                <w:rFonts w:ascii="Arial" w:eastAsia="Times New Roman" w:hAnsi="Arial" w:cs="Arial"/>
                <w:color w:val="000000"/>
                <w:sz w:val="20"/>
                <w:szCs w:val="20"/>
                <w:lang w:eastAsia="es-CO"/>
              </w:rPr>
            </w:pPr>
            <w:r w:rsidRPr="00D7302F">
              <w:rPr>
                <w:rFonts w:ascii="Arial" w:eastAsia="Times New Roman" w:hAnsi="Arial" w:cs="Arial"/>
                <w:color w:val="000000"/>
                <w:sz w:val="20"/>
                <w:szCs w:val="20"/>
                <w:lang w:eastAsia="es-CO"/>
              </w:rPr>
              <w:t>N/A</w:t>
            </w:r>
            <w:r w:rsidR="00A57A38" w:rsidRPr="00D7302F">
              <w:rPr>
                <w:rFonts w:ascii="Arial" w:eastAsia="Times New Roman" w:hAnsi="Arial" w:cs="Arial"/>
                <w:color w:val="000000"/>
                <w:sz w:val="20"/>
                <w:szCs w:val="20"/>
                <w:lang w:eastAsia="es-CO"/>
              </w:rPr>
              <w:t> </w:t>
            </w:r>
          </w:p>
        </w:tc>
      </w:tr>
      <w:tr w:rsidR="00A57A38" w:rsidRPr="00D7302F" w14:paraId="1320F2BB" w14:textId="77777777" w:rsidTr="00607F80">
        <w:trPr>
          <w:trHeight w:val="450"/>
        </w:trPr>
        <w:tc>
          <w:tcPr>
            <w:tcW w:w="1197" w:type="pct"/>
            <w:vMerge/>
            <w:tcBorders>
              <w:top w:val="nil"/>
              <w:left w:val="double" w:sz="6" w:space="0" w:color="auto"/>
              <w:bottom w:val="single" w:sz="4" w:space="0" w:color="auto"/>
              <w:right w:val="single" w:sz="4" w:space="0" w:color="auto"/>
            </w:tcBorders>
            <w:vAlign w:val="center"/>
            <w:hideMark/>
          </w:tcPr>
          <w:p w14:paraId="725DE5BD" w14:textId="77777777" w:rsidR="00A57A38" w:rsidRPr="00D7302F" w:rsidRDefault="00A57A38" w:rsidP="00A57A38">
            <w:pPr>
              <w:spacing w:after="0" w:line="240" w:lineRule="auto"/>
              <w:rPr>
                <w:rFonts w:ascii="Arial" w:eastAsia="Times New Roman" w:hAnsi="Arial" w:cs="Arial"/>
                <w:b/>
                <w:bCs/>
                <w:color w:val="000000"/>
                <w:sz w:val="20"/>
                <w:szCs w:val="20"/>
                <w:lang w:eastAsia="es-CO"/>
              </w:rPr>
            </w:pPr>
          </w:p>
        </w:tc>
        <w:tc>
          <w:tcPr>
            <w:tcW w:w="3803" w:type="pct"/>
            <w:vMerge/>
            <w:tcBorders>
              <w:top w:val="single" w:sz="4" w:space="0" w:color="auto"/>
              <w:left w:val="single" w:sz="4" w:space="0" w:color="auto"/>
              <w:bottom w:val="single" w:sz="4" w:space="0" w:color="000000"/>
              <w:right w:val="double" w:sz="6" w:space="0" w:color="000000"/>
            </w:tcBorders>
            <w:vAlign w:val="center"/>
            <w:hideMark/>
          </w:tcPr>
          <w:p w14:paraId="17437D0C" w14:textId="77777777" w:rsidR="00A57A38" w:rsidRPr="00D7302F" w:rsidRDefault="00A57A38" w:rsidP="00A57A38">
            <w:pPr>
              <w:spacing w:after="0" w:line="240" w:lineRule="auto"/>
              <w:rPr>
                <w:rFonts w:ascii="Arial" w:eastAsia="Times New Roman" w:hAnsi="Arial" w:cs="Arial"/>
                <w:color w:val="000000"/>
                <w:sz w:val="20"/>
                <w:szCs w:val="20"/>
                <w:lang w:eastAsia="es-CO"/>
              </w:rPr>
            </w:pPr>
          </w:p>
        </w:tc>
      </w:tr>
    </w:tbl>
    <w:p w14:paraId="720C9A57" w14:textId="6D3243ED" w:rsidR="00A57A38" w:rsidRDefault="00A57A38">
      <w:pPr>
        <w:rPr>
          <w:rFonts w:ascii="Arial" w:hAnsi="Arial" w:cs="Arial"/>
          <w:sz w:val="20"/>
          <w:szCs w:val="20"/>
        </w:rPr>
      </w:pPr>
    </w:p>
    <w:p w14:paraId="23E3608C" w14:textId="77777777" w:rsidR="00E46FEE" w:rsidRDefault="00E46FEE">
      <w:pPr>
        <w:rPr>
          <w:rFonts w:ascii="Arial" w:hAnsi="Arial" w:cs="Arial"/>
          <w:sz w:val="20"/>
          <w:szCs w:val="20"/>
        </w:rPr>
      </w:pPr>
    </w:p>
    <w:p w14:paraId="599EB615" w14:textId="77777777" w:rsidR="00CE4D06" w:rsidRDefault="00CE4D06">
      <w:pPr>
        <w:rPr>
          <w:rFonts w:ascii="Arial" w:hAnsi="Arial" w:cs="Arial"/>
          <w:sz w:val="20"/>
          <w:szCs w:val="20"/>
        </w:rPr>
      </w:pPr>
    </w:p>
    <w:p w14:paraId="4DCE2401" w14:textId="784825F5" w:rsidR="00E46FEE" w:rsidRDefault="00E46FEE">
      <w:pPr>
        <w:rPr>
          <w:rFonts w:ascii="Arial" w:hAnsi="Arial" w:cs="Arial"/>
          <w:sz w:val="20"/>
          <w:szCs w:val="20"/>
        </w:rPr>
      </w:pPr>
    </w:p>
    <w:p w14:paraId="1D6ACA9E" w14:textId="100F63FC" w:rsidR="0020792D" w:rsidRPr="00D80CF2" w:rsidRDefault="0020792D">
      <w:pPr>
        <w:rPr>
          <w:rFonts w:ascii="Arial" w:hAnsi="Arial" w:cs="Arial"/>
          <w:b/>
          <w:sz w:val="24"/>
          <w:szCs w:val="24"/>
        </w:rPr>
      </w:pPr>
      <w:r w:rsidRPr="00D80CF2">
        <w:rPr>
          <w:rFonts w:ascii="Arial" w:hAnsi="Arial" w:cs="Arial"/>
          <w:b/>
          <w:sz w:val="24"/>
          <w:szCs w:val="24"/>
        </w:rPr>
        <w:t xml:space="preserve">Características del servidor para instalación aplicación de gestión de </w:t>
      </w:r>
      <w:proofErr w:type="spellStart"/>
      <w:r w:rsidRPr="00D80CF2">
        <w:rPr>
          <w:rFonts w:ascii="Arial" w:hAnsi="Arial" w:cs="Arial"/>
          <w:b/>
          <w:sz w:val="24"/>
          <w:szCs w:val="24"/>
        </w:rPr>
        <w:t>Tiqckets</w:t>
      </w:r>
      <w:proofErr w:type="spellEnd"/>
    </w:p>
    <w:p w14:paraId="060B7125" w14:textId="000045A1" w:rsidR="0020792D" w:rsidRDefault="0020792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6"/>
        <w:gridCol w:w="3866"/>
      </w:tblGrid>
      <w:tr w:rsidR="0020792D" w14:paraId="77711D69" w14:textId="77777777" w:rsidTr="00172F0D">
        <w:trPr>
          <w:trHeight w:val="103"/>
        </w:trPr>
        <w:tc>
          <w:tcPr>
            <w:tcW w:w="3866" w:type="dxa"/>
          </w:tcPr>
          <w:p w14:paraId="7BA84951" w14:textId="77777777" w:rsidR="0020792D" w:rsidRDefault="0020792D">
            <w:pPr>
              <w:pStyle w:val="Default"/>
              <w:rPr>
                <w:sz w:val="22"/>
                <w:szCs w:val="22"/>
              </w:rPr>
            </w:pPr>
            <w:r>
              <w:rPr>
                <w:b/>
                <w:bCs/>
                <w:sz w:val="22"/>
                <w:szCs w:val="22"/>
              </w:rPr>
              <w:t xml:space="preserve">CARACTERÍSTICA </w:t>
            </w:r>
          </w:p>
        </w:tc>
        <w:tc>
          <w:tcPr>
            <w:tcW w:w="3866" w:type="dxa"/>
          </w:tcPr>
          <w:p w14:paraId="02119440" w14:textId="77777777" w:rsidR="0020792D" w:rsidRDefault="0020792D">
            <w:pPr>
              <w:pStyle w:val="Default"/>
              <w:rPr>
                <w:sz w:val="22"/>
                <w:szCs w:val="22"/>
              </w:rPr>
            </w:pPr>
            <w:r>
              <w:rPr>
                <w:b/>
                <w:bCs/>
                <w:sz w:val="22"/>
                <w:szCs w:val="22"/>
              </w:rPr>
              <w:t xml:space="preserve">DESCRIPCIÓN </w:t>
            </w:r>
          </w:p>
        </w:tc>
      </w:tr>
      <w:tr w:rsidR="0020792D" w14:paraId="64149524" w14:textId="77777777" w:rsidTr="00172F0D">
        <w:trPr>
          <w:trHeight w:val="229"/>
        </w:trPr>
        <w:tc>
          <w:tcPr>
            <w:tcW w:w="3866" w:type="dxa"/>
          </w:tcPr>
          <w:p w14:paraId="49822DE5" w14:textId="77777777" w:rsidR="0020792D" w:rsidRDefault="0020792D">
            <w:pPr>
              <w:pStyle w:val="Default"/>
              <w:rPr>
                <w:sz w:val="22"/>
                <w:szCs w:val="22"/>
              </w:rPr>
            </w:pPr>
            <w:r>
              <w:rPr>
                <w:sz w:val="22"/>
                <w:szCs w:val="22"/>
              </w:rPr>
              <w:t xml:space="preserve">Chasis </w:t>
            </w:r>
          </w:p>
        </w:tc>
        <w:tc>
          <w:tcPr>
            <w:tcW w:w="3866" w:type="dxa"/>
          </w:tcPr>
          <w:p w14:paraId="22279890" w14:textId="77777777" w:rsidR="0020792D" w:rsidRDefault="0020792D">
            <w:pPr>
              <w:pStyle w:val="Default"/>
              <w:rPr>
                <w:sz w:val="22"/>
                <w:szCs w:val="22"/>
              </w:rPr>
            </w:pPr>
            <w:r>
              <w:rPr>
                <w:sz w:val="22"/>
                <w:szCs w:val="22"/>
              </w:rPr>
              <w:t xml:space="preserve">Con base o de montaje en Rack, cable de alimentación, guía de instalación, kits de montaje </w:t>
            </w:r>
          </w:p>
        </w:tc>
      </w:tr>
      <w:tr w:rsidR="0020792D" w14:paraId="45DCD455" w14:textId="77777777" w:rsidTr="00172F0D">
        <w:trPr>
          <w:trHeight w:val="229"/>
        </w:trPr>
        <w:tc>
          <w:tcPr>
            <w:tcW w:w="3866" w:type="dxa"/>
          </w:tcPr>
          <w:p w14:paraId="04AA7533" w14:textId="77777777" w:rsidR="0020792D" w:rsidRDefault="0020792D">
            <w:pPr>
              <w:pStyle w:val="Default"/>
              <w:rPr>
                <w:sz w:val="22"/>
                <w:szCs w:val="22"/>
              </w:rPr>
            </w:pPr>
            <w:proofErr w:type="spellStart"/>
            <w:r>
              <w:rPr>
                <w:sz w:val="22"/>
                <w:szCs w:val="22"/>
              </w:rPr>
              <w:t>Trusted</w:t>
            </w:r>
            <w:proofErr w:type="spellEnd"/>
            <w:r>
              <w:rPr>
                <w:sz w:val="22"/>
                <w:szCs w:val="22"/>
              </w:rPr>
              <w:t xml:space="preserve"> </w:t>
            </w:r>
            <w:proofErr w:type="spellStart"/>
            <w:r>
              <w:rPr>
                <w:sz w:val="22"/>
                <w:szCs w:val="22"/>
              </w:rPr>
              <w:t>Platform</w:t>
            </w:r>
            <w:proofErr w:type="spellEnd"/>
            <w:r>
              <w:rPr>
                <w:sz w:val="22"/>
                <w:szCs w:val="22"/>
              </w:rPr>
              <w:t xml:space="preserve"> Module (TPM) </w:t>
            </w:r>
          </w:p>
        </w:tc>
        <w:tc>
          <w:tcPr>
            <w:tcW w:w="3866" w:type="dxa"/>
          </w:tcPr>
          <w:p w14:paraId="1A5EE751" w14:textId="77777777" w:rsidR="0020792D" w:rsidRDefault="0020792D">
            <w:pPr>
              <w:pStyle w:val="Default"/>
              <w:rPr>
                <w:sz w:val="22"/>
                <w:szCs w:val="22"/>
              </w:rPr>
            </w:pPr>
            <w:proofErr w:type="spellStart"/>
            <w:r>
              <w:rPr>
                <w:sz w:val="22"/>
                <w:szCs w:val="22"/>
              </w:rPr>
              <w:t>Trusted</w:t>
            </w:r>
            <w:proofErr w:type="spellEnd"/>
            <w:r>
              <w:rPr>
                <w:sz w:val="22"/>
                <w:szCs w:val="22"/>
              </w:rPr>
              <w:t xml:space="preserve"> </w:t>
            </w:r>
            <w:proofErr w:type="spellStart"/>
            <w:r>
              <w:rPr>
                <w:sz w:val="22"/>
                <w:szCs w:val="22"/>
              </w:rPr>
              <w:t>Platform</w:t>
            </w:r>
            <w:proofErr w:type="spellEnd"/>
            <w:r>
              <w:rPr>
                <w:sz w:val="22"/>
                <w:szCs w:val="22"/>
              </w:rPr>
              <w:t xml:space="preserve"> Module 2.0 </w:t>
            </w:r>
          </w:p>
        </w:tc>
      </w:tr>
      <w:tr w:rsidR="0020792D" w:rsidRPr="00D079D6" w14:paraId="7BB38EFD" w14:textId="77777777" w:rsidTr="00172F0D">
        <w:trPr>
          <w:trHeight w:val="355"/>
        </w:trPr>
        <w:tc>
          <w:tcPr>
            <w:tcW w:w="3866" w:type="dxa"/>
          </w:tcPr>
          <w:p w14:paraId="43CAACC7" w14:textId="77777777" w:rsidR="0020792D" w:rsidRDefault="0020792D">
            <w:pPr>
              <w:pStyle w:val="Default"/>
              <w:rPr>
                <w:sz w:val="22"/>
                <w:szCs w:val="22"/>
              </w:rPr>
            </w:pPr>
            <w:r>
              <w:rPr>
                <w:sz w:val="22"/>
                <w:szCs w:val="22"/>
              </w:rPr>
              <w:t xml:space="preserve">Procesador que cuente como mínimo con las </w:t>
            </w:r>
            <w:proofErr w:type="spellStart"/>
            <w:r>
              <w:rPr>
                <w:sz w:val="22"/>
                <w:szCs w:val="22"/>
              </w:rPr>
              <w:t>siquientes</w:t>
            </w:r>
            <w:proofErr w:type="spellEnd"/>
            <w:r>
              <w:rPr>
                <w:sz w:val="22"/>
                <w:szCs w:val="22"/>
              </w:rPr>
              <w:t xml:space="preserve"> características </w:t>
            </w:r>
          </w:p>
        </w:tc>
        <w:tc>
          <w:tcPr>
            <w:tcW w:w="3866" w:type="dxa"/>
          </w:tcPr>
          <w:p w14:paraId="51531759" w14:textId="77777777" w:rsidR="0020792D" w:rsidRPr="0020792D" w:rsidRDefault="0020792D">
            <w:pPr>
              <w:pStyle w:val="Default"/>
              <w:rPr>
                <w:sz w:val="22"/>
                <w:szCs w:val="22"/>
                <w:lang w:val="en-US"/>
              </w:rPr>
            </w:pPr>
            <w:r w:rsidRPr="0020792D">
              <w:rPr>
                <w:sz w:val="22"/>
                <w:szCs w:val="22"/>
                <w:lang w:val="en-US"/>
              </w:rPr>
              <w:t xml:space="preserve">Intel® Xeon® Gold 6154 3.0G, 18Cores / 36T, 10.4GT / s, 25M Cache, Turbo, HT (200W) DDR4-2666 </w:t>
            </w:r>
          </w:p>
        </w:tc>
      </w:tr>
      <w:tr w:rsidR="0020792D" w:rsidRPr="00D079D6" w14:paraId="72E42DAB" w14:textId="77777777" w:rsidTr="00172F0D">
        <w:trPr>
          <w:trHeight w:val="356"/>
        </w:trPr>
        <w:tc>
          <w:tcPr>
            <w:tcW w:w="3866" w:type="dxa"/>
          </w:tcPr>
          <w:p w14:paraId="32818210" w14:textId="77777777" w:rsidR="0020792D" w:rsidRDefault="0020792D">
            <w:pPr>
              <w:pStyle w:val="Default"/>
              <w:rPr>
                <w:sz w:val="22"/>
                <w:szCs w:val="22"/>
              </w:rPr>
            </w:pPr>
            <w:r>
              <w:rPr>
                <w:sz w:val="22"/>
                <w:szCs w:val="22"/>
              </w:rPr>
              <w:t xml:space="preserve">Procesador adicional que cuente como mínimo con las </w:t>
            </w:r>
            <w:proofErr w:type="spellStart"/>
            <w:r>
              <w:rPr>
                <w:sz w:val="22"/>
                <w:szCs w:val="22"/>
              </w:rPr>
              <w:t>siquientes</w:t>
            </w:r>
            <w:proofErr w:type="spellEnd"/>
            <w:r>
              <w:rPr>
                <w:sz w:val="22"/>
                <w:szCs w:val="22"/>
              </w:rPr>
              <w:t xml:space="preserve"> características </w:t>
            </w:r>
          </w:p>
        </w:tc>
        <w:tc>
          <w:tcPr>
            <w:tcW w:w="3866" w:type="dxa"/>
          </w:tcPr>
          <w:p w14:paraId="2D6766EC" w14:textId="77777777" w:rsidR="0020792D" w:rsidRPr="0020792D" w:rsidRDefault="0020792D">
            <w:pPr>
              <w:pStyle w:val="Default"/>
              <w:rPr>
                <w:sz w:val="22"/>
                <w:szCs w:val="22"/>
                <w:lang w:val="en-US"/>
              </w:rPr>
            </w:pPr>
            <w:r w:rsidRPr="0020792D">
              <w:rPr>
                <w:sz w:val="22"/>
                <w:szCs w:val="22"/>
                <w:lang w:val="en-US"/>
              </w:rPr>
              <w:t xml:space="preserve">Intel® Xeon® Gold 6154 3.0G, 18Cores / 36T, 10.4GT / s, 25M Cache, Turbo, HT (200W) DDR4-2666 </w:t>
            </w:r>
          </w:p>
        </w:tc>
      </w:tr>
      <w:tr w:rsidR="0020792D" w:rsidRPr="00D079D6" w14:paraId="0B115EAA" w14:textId="77777777" w:rsidTr="00172F0D">
        <w:trPr>
          <w:trHeight w:val="229"/>
        </w:trPr>
        <w:tc>
          <w:tcPr>
            <w:tcW w:w="3866" w:type="dxa"/>
          </w:tcPr>
          <w:p w14:paraId="36B8F354" w14:textId="77777777" w:rsidR="0020792D" w:rsidRDefault="0020792D">
            <w:pPr>
              <w:pStyle w:val="Default"/>
              <w:rPr>
                <w:sz w:val="22"/>
                <w:szCs w:val="22"/>
              </w:rPr>
            </w:pPr>
            <w:r>
              <w:rPr>
                <w:sz w:val="22"/>
                <w:szCs w:val="22"/>
              </w:rPr>
              <w:t xml:space="preserve">Configuración térmica del procesador </w:t>
            </w:r>
          </w:p>
        </w:tc>
        <w:tc>
          <w:tcPr>
            <w:tcW w:w="3866" w:type="dxa"/>
          </w:tcPr>
          <w:p w14:paraId="705BC13E" w14:textId="77777777" w:rsidR="0020792D" w:rsidRPr="0020792D" w:rsidRDefault="0020792D">
            <w:pPr>
              <w:pStyle w:val="Default"/>
              <w:rPr>
                <w:sz w:val="22"/>
                <w:szCs w:val="22"/>
                <w:lang w:val="en-US"/>
              </w:rPr>
            </w:pPr>
            <w:r w:rsidRPr="0020792D">
              <w:rPr>
                <w:sz w:val="22"/>
                <w:szCs w:val="22"/>
                <w:lang w:val="en-US"/>
              </w:rPr>
              <w:t xml:space="preserve">2 Standard Heatsinks for 125W or less CPUs </w:t>
            </w:r>
          </w:p>
        </w:tc>
      </w:tr>
      <w:tr w:rsidR="0020792D" w14:paraId="2A567D7B" w14:textId="77777777" w:rsidTr="00172F0D">
        <w:trPr>
          <w:trHeight w:val="229"/>
        </w:trPr>
        <w:tc>
          <w:tcPr>
            <w:tcW w:w="3866" w:type="dxa"/>
          </w:tcPr>
          <w:p w14:paraId="34694C0B" w14:textId="77777777" w:rsidR="0020792D" w:rsidRDefault="0020792D">
            <w:pPr>
              <w:pStyle w:val="Default"/>
              <w:rPr>
                <w:sz w:val="22"/>
                <w:szCs w:val="22"/>
              </w:rPr>
            </w:pPr>
            <w:r>
              <w:rPr>
                <w:sz w:val="22"/>
                <w:szCs w:val="22"/>
              </w:rPr>
              <w:t xml:space="preserve">Tipo de configuración de memoria </w:t>
            </w:r>
          </w:p>
        </w:tc>
        <w:tc>
          <w:tcPr>
            <w:tcW w:w="3866" w:type="dxa"/>
          </w:tcPr>
          <w:p w14:paraId="469702E2" w14:textId="77777777" w:rsidR="0020792D" w:rsidRDefault="0020792D">
            <w:pPr>
              <w:pStyle w:val="Default"/>
              <w:rPr>
                <w:sz w:val="22"/>
                <w:szCs w:val="22"/>
              </w:rPr>
            </w:pPr>
            <w:proofErr w:type="spellStart"/>
            <w:r>
              <w:rPr>
                <w:sz w:val="22"/>
                <w:szCs w:val="22"/>
              </w:rPr>
              <w:t>Fault</w:t>
            </w:r>
            <w:proofErr w:type="spellEnd"/>
            <w:r>
              <w:rPr>
                <w:sz w:val="22"/>
                <w:szCs w:val="22"/>
              </w:rPr>
              <w:t xml:space="preserve"> </w:t>
            </w:r>
            <w:proofErr w:type="spellStart"/>
            <w:r>
              <w:rPr>
                <w:sz w:val="22"/>
                <w:szCs w:val="22"/>
              </w:rPr>
              <w:t>Resilient</w:t>
            </w:r>
            <w:proofErr w:type="spellEnd"/>
            <w:r>
              <w:rPr>
                <w:sz w:val="22"/>
                <w:szCs w:val="22"/>
              </w:rPr>
              <w:t xml:space="preserve"> </w:t>
            </w:r>
            <w:proofErr w:type="spellStart"/>
            <w:r>
              <w:rPr>
                <w:sz w:val="22"/>
                <w:szCs w:val="22"/>
              </w:rPr>
              <w:t>Memory-Vmware</w:t>
            </w:r>
            <w:proofErr w:type="spellEnd"/>
            <w:r>
              <w:rPr>
                <w:sz w:val="22"/>
                <w:szCs w:val="22"/>
              </w:rPr>
              <w:t xml:space="preserve"> </w:t>
            </w:r>
          </w:p>
        </w:tc>
      </w:tr>
      <w:tr w:rsidR="0020792D" w14:paraId="646CFC88" w14:textId="77777777" w:rsidTr="00172F0D">
        <w:trPr>
          <w:trHeight w:val="229"/>
        </w:trPr>
        <w:tc>
          <w:tcPr>
            <w:tcW w:w="3866" w:type="dxa"/>
          </w:tcPr>
          <w:p w14:paraId="5318A84E" w14:textId="77777777" w:rsidR="0020792D" w:rsidRDefault="0020792D">
            <w:pPr>
              <w:pStyle w:val="Default"/>
              <w:rPr>
                <w:sz w:val="22"/>
                <w:szCs w:val="22"/>
              </w:rPr>
            </w:pPr>
            <w:r>
              <w:rPr>
                <w:sz w:val="22"/>
                <w:szCs w:val="22"/>
              </w:rPr>
              <w:t xml:space="preserve">Tipo y velocidad de los DIMM de memoria </w:t>
            </w:r>
          </w:p>
        </w:tc>
        <w:tc>
          <w:tcPr>
            <w:tcW w:w="3866" w:type="dxa"/>
          </w:tcPr>
          <w:p w14:paraId="73FDA341" w14:textId="77777777" w:rsidR="0020792D" w:rsidRDefault="0020792D">
            <w:pPr>
              <w:pStyle w:val="Default"/>
              <w:rPr>
                <w:sz w:val="22"/>
                <w:szCs w:val="22"/>
              </w:rPr>
            </w:pPr>
            <w:r>
              <w:rPr>
                <w:sz w:val="22"/>
                <w:szCs w:val="22"/>
              </w:rPr>
              <w:t xml:space="preserve">2666MT/s </w:t>
            </w:r>
            <w:proofErr w:type="spellStart"/>
            <w:r>
              <w:rPr>
                <w:sz w:val="22"/>
                <w:szCs w:val="22"/>
              </w:rPr>
              <w:t>RDIMMs</w:t>
            </w:r>
            <w:proofErr w:type="spellEnd"/>
            <w:r>
              <w:rPr>
                <w:sz w:val="22"/>
                <w:szCs w:val="22"/>
              </w:rPr>
              <w:t xml:space="preserve"> </w:t>
            </w:r>
          </w:p>
        </w:tc>
      </w:tr>
      <w:tr w:rsidR="0020792D" w14:paraId="3015645A" w14:textId="77777777" w:rsidTr="00172F0D">
        <w:trPr>
          <w:trHeight w:val="229"/>
        </w:trPr>
        <w:tc>
          <w:tcPr>
            <w:tcW w:w="3866" w:type="dxa"/>
          </w:tcPr>
          <w:p w14:paraId="4420DA6D" w14:textId="77777777" w:rsidR="0020792D" w:rsidRDefault="0020792D">
            <w:pPr>
              <w:pStyle w:val="Default"/>
              <w:rPr>
                <w:sz w:val="22"/>
                <w:szCs w:val="22"/>
              </w:rPr>
            </w:pPr>
            <w:r>
              <w:rPr>
                <w:sz w:val="22"/>
                <w:szCs w:val="22"/>
              </w:rPr>
              <w:t xml:space="preserve">Memoria </w:t>
            </w:r>
          </w:p>
        </w:tc>
        <w:tc>
          <w:tcPr>
            <w:tcW w:w="3866" w:type="dxa"/>
          </w:tcPr>
          <w:p w14:paraId="3B686C74" w14:textId="77777777" w:rsidR="0020792D" w:rsidRDefault="0020792D">
            <w:pPr>
              <w:pStyle w:val="Default"/>
              <w:rPr>
                <w:sz w:val="22"/>
                <w:szCs w:val="22"/>
              </w:rPr>
            </w:pPr>
            <w:r>
              <w:rPr>
                <w:sz w:val="22"/>
                <w:szCs w:val="22"/>
              </w:rPr>
              <w:t xml:space="preserve">256GB instalados en 8 RDIMM Dual Rank de 32 GB cada uno, 2666MT/s, </w:t>
            </w:r>
          </w:p>
        </w:tc>
      </w:tr>
      <w:tr w:rsidR="0020792D" w:rsidRPr="00D079D6" w14:paraId="541B9660" w14:textId="77777777" w:rsidTr="00172F0D">
        <w:trPr>
          <w:trHeight w:val="103"/>
        </w:trPr>
        <w:tc>
          <w:tcPr>
            <w:tcW w:w="3866" w:type="dxa"/>
          </w:tcPr>
          <w:p w14:paraId="3FB78BBD" w14:textId="77777777" w:rsidR="0020792D" w:rsidRDefault="0020792D">
            <w:pPr>
              <w:pStyle w:val="Default"/>
              <w:rPr>
                <w:sz w:val="22"/>
                <w:szCs w:val="22"/>
              </w:rPr>
            </w:pPr>
            <w:r>
              <w:rPr>
                <w:sz w:val="22"/>
                <w:szCs w:val="22"/>
              </w:rPr>
              <w:t xml:space="preserve">Sistema Operativo </w:t>
            </w:r>
          </w:p>
        </w:tc>
        <w:tc>
          <w:tcPr>
            <w:tcW w:w="3866" w:type="dxa"/>
          </w:tcPr>
          <w:p w14:paraId="7F78B097" w14:textId="77777777" w:rsidR="0020792D" w:rsidRPr="0020792D" w:rsidRDefault="0020792D">
            <w:pPr>
              <w:pStyle w:val="Default"/>
              <w:rPr>
                <w:sz w:val="22"/>
                <w:szCs w:val="22"/>
                <w:lang w:val="en-US"/>
              </w:rPr>
            </w:pPr>
            <w:r w:rsidRPr="0020792D">
              <w:rPr>
                <w:sz w:val="22"/>
                <w:szCs w:val="22"/>
                <w:lang w:val="en-US"/>
              </w:rPr>
              <w:t xml:space="preserve">VMware </w:t>
            </w:r>
            <w:proofErr w:type="spellStart"/>
            <w:r w:rsidRPr="0020792D">
              <w:rPr>
                <w:sz w:val="22"/>
                <w:szCs w:val="22"/>
                <w:lang w:val="en-US"/>
              </w:rPr>
              <w:t>ESXi</w:t>
            </w:r>
            <w:proofErr w:type="spellEnd"/>
            <w:r w:rsidRPr="0020792D">
              <w:rPr>
                <w:sz w:val="22"/>
                <w:szCs w:val="22"/>
                <w:lang w:val="en-US"/>
              </w:rPr>
              <w:t xml:space="preserve"> 6.5 U2 Embedded Image </w:t>
            </w:r>
          </w:p>
        </w:tc>
      </w:tr>
      <w:tr w:rsidR="0020792D" w:rsidRPr="00D079D6" w14:paraId="0E1EDB13" w14:textId="77777777" w:rsidTr="00172F0D">
        <w:trPr>
          <w:trHeight w:val="229"/>
        </w:trPr>
        <w:tc>
          <w:tcPr>
            <w:tcW w:w="3866" w:type="dxa"/>
          </w:tcPr>
          <w:p w14:paraId="4164D517" w14:textId="77777777" w:rsidR="0020792D" w:rsidRDefault="0020792D">
            <w:pPr>
              <w:pStyle w:val="Default"/>
              <w:rPr>
                <w:sz w:val="22"/>
                <w:szCs w:val="22"/>
              </w:rPr>
            </w:pPr>
            <w:proofErr w:type="spellStart"/>
            <w:r>
              <w:rPr>
                <w:sz w:val="22"/>
                <w:szCs w:val="22"/>
              </w:rPr>
              <w:t>Virtualization</w:t>
            </w:r>
            <w:proofErr w:type="spellEnd"/>
            <w:r>
              <w:rPr>
                <w:sz w:val="22"/>
                <w:szCs w:val="22"/>
              </w:rPr>
              <w:t xml:space="preserve"> software and </w:t>
            </w:r>
            <w:proofErr w:type="spellStart"/>
            <w:r>
              <w:rPr>
                <w:sz w:val="22"/>
                <w:szCs w:val="22"/>
              </w:rPr>
              <w:t>Support</w:t>
            </w:r>
            <w:proofErr w:type="spellEnd"/>
            <w:r>
              <w:rPr>
                <w:sz w:val="22"/>
                <w:szCs w:val="22"/>
              </w:rPr>
              <w:t xml:space="preserve"> </w:t>
            </w:r>
          </w:p>
        </w:tc>
        <w:tc>
          <w:tcPr>
            <w:tcW w:w="3866" w:type="dxa"/>
          </w:tcPr>
          <w:p w14:paraId="544FA2A1" w14:textId="77777777" w:rsidR="0020792D" w:rsidRPr="0020792D" w:rsidRDefault="0020792D">
            <w:pPr>
              <w:pStyle w:val="Default"/>
              <w:rPr>
                <w:sz w:val="22"/>
                <w:szCs w:val="22"/>
                <w:lang w:val="en-US"/>
              </w:rPr>
            </w:pPr>
            <w:r w:rsidRPr="0020792D">
              <w:rPr>
                <w:sz w:val="22"/>
                <w:szCs w:val="22"/>
                <w:lang w:val="en-US"/>
              </w:rPr>
              <w:t xml:space="preserve">VMware vCenter Foundation, per instance limit 4 hosts 3 year </w:t>
            </w:r>
          </w:p>
        </w:tc>
      </w:tr>
      <w:tr w:rsidR="0020792D" w14:paraId="77F92A7C" w14:textId="77777777" w:rsidTr="00172F0D">
        <w:trPr>
          <w:trHeight w:val="357"/>
        </w:trPr>
        <w:tc>
          <w:tcPr>
            <w:tcW w:w="3866" w:type="dxa"/>
          </w:tcPr>
          <w:p w14:paraId="50C7208C" w14:textId="77777777" w:rsidR="0020792D" w:rsidRDefault="0020792D">
            <w:pPr>
              <w:pStyle w:val="Default"/>
              <w:rPr>
                <w:sz w:val="22"/>
                <w:szCs w:val="22"/>
              </w:rPr>
            </w:pPr>
            <w:r>
              <w:rPr>
                <w:sz w:val="22"/>
                <w:szCs w:val="22"/>
              </w:rPr>
              <w:t xml:space="preserve">Discos duros y configuración RAID 5 </w:t>
            </w:r>
          </w:p>
        </w:tc>
        <w:tc>
          <w:tcPr>
            <w:tcW w:w="3866" w:type="dxa"/>
          </w:tcPr>
          <w:p w14:paraId="023880FE" w14:textId="77777777" w:rsidR="0020792D" w:rsidRPr="0020792D" w:rsidRDefault="0020792D">
            <w:pPr>
              <w:pStyle w:val="Default"/>
              <w:rPr>
                <w:sz w:val="22"/>
                <w:szCs w:val="22"/>
                <w:lang w:val="en-US"/>
              </w:rPr>
            </w:pPr>
            <w:r w:rsidRPr="0020792D">
              <w:rPr>
                <w:sz w:val="22"/>
                <w:szCs w:val="22"/>
                <w:lang w:val="en-US"/>
              </w:rPr>
              <w:t xml:space="preserve">480GB SSD SATA 12Gbps 2.5 in Hot-plug AG Drive, 1 DWPD, 876 TBW, </w:t>
            </w:r>
            <w:proofErr w:type="spellStart"/>
            <w:r w:rsidRPr="0020792D">
              <w:rPr>
                <w:sz w:val="22"/>
                <w:szCs w:val="22"/>
                <w:lang w:val="en-US"/>
              </w:rPr>
              <w:t>Cantidad</w:t>
            </w:r>
            <w:proofErr w:type="spellEnd"/>
            <w:r w:rsidRPr="0020792D">
              <w:rPr>
                <w:sz w:val="22"/>
                <w:szCs w:val="22"/>
                <w:lang w:val="en-US"/>
              </w:rPr>
              <w:t xml:space="preserve">: 6 (seis) </w:t>
            </w:r>
          </w:p>
          <w:p w14:paraId="4CB9337D" w14:textId="77777777" w:rsidR="0020792D" w:rsidRDefault="0020792D">
            <w:pPr>
              <w:pStyle w:val="Default"/>
              <w:rPr>
                <w:sz w:val="22"/>
                <w:szCs w:val="22"/>
              </w:rPr>
            </w:pPr>
            <w:r>
              <w:rPr>
                <w:sz w:val="22"/>
                <w:szCs w:val="22"/>
              </w:rPr>
              <w:t xml:space="preserve">El RAID debe estar instalado y configurado </w:t>
            </w:r>
          </w:p>
        </w:tc>
      </w:tr>
      <w:tr w:rsidR="0020792D" w14:paraId="2A047B7E" w14:textId="77777777" w:rsidTr="00172F0D">
        <w:trPr>
          <w:trHeight w:val="608"/>
        </w:trPr>
        <w:tc>
          <w:tcPr>
            <w:tcW w:w="3866" w:type="dxa"/>
          </w:tcPr>
          <w:p w14:paraId="2CDFD35B" w14:textId="77777777" w:rsidR="0020792D" w:rsidRDefault="0020792D">
            <w:pPr>
              <w:pStyle w:val="Default"/>
              <w:rPr>
                <w:sz w:val="22"/>
                <w:szCs w:val="22"/>
              </w:rPr>
            </w:pPr>
            <w:r>
              <w:rPr>
                <w:sz w:val="22"/>
                <w:szCs w:val="22"/>
              </w:rPr>
              <w:t xml:space="preserve">Controladora de discos: </w:t>
            </w:r>
          </w:p>
        </w:tc>
        <w:tc>
          <w:tcPr>
            <w:tcW w:w="3866" w:type="dxa"/>
          </w:tcPr>
          <w:p w14:paraId="21BC0AB9" w14:textId="7909F6FC" w:rsidR="0020792D" w:rsidRDefault="0020792D">
            <w:pPr>
              <w:pStyle w:val="Default"/>
              <w:rPr>
                <w:sz w:val="22"/>
                <w:szCs w:val="22"/>
              </w:rPr>
            </w:pPr>
            <w:r>
              <w:rPr>
                <w:sz w:val="22"/>
                <w:szCs w:val="22"/>
              </w:rPr>
              <w:t xml:space="preserve">Interfaces requeridas: SAS </w:t>
            </w:r>
          </w:p>
          <w:p w14:paraId="45F42BAE" w14:textId="77777777" w:rsidR="0020792D" w:rsidRDefault="0020792D">
            <w:pPr>
              <w:pStyle w:val="Default"/>
              <w:rPr>
                <w:sz w:val="22"/>
                <w:szCs w:val="22"/>
              </w:rPr>
            </w:pPr>
            <w:r>
              <w:rPr>
                <w:sz w:val="22"/>
                <w:szCs w:val="22"/>
              </w:rPr>
              <w:t xml:space="preserve">Velocidad de transferencia de datos requerida: 12 Gbit/s </w:t>
            </w:r>
          </w:p>
          <w:p w14:paraId="433C8F32" w14:textId="77777777" w:rsidR="0020792D" w:rsidRDefault="0020792D">
            <w:pPr>
              <w:pStyle w:val="Default"/>
              <w:rPr>
                <w:sz w:val="22"/>
                <w:szCs w:val="22"/>
              </w:rPr>
            </w:pPr>
            <w:r>
              <w:rPr>
                <w:sz w:val="22"/>
                <w:szCs w:val="22"/>
              </w:rPr>
              <w:t xml:space="preserve">Número de canales: 8 (ocho) </w:t>
            </w:r>
          </w:p>
          <w:p w14:paraId="054E5AF7" w14:textId="77777777" w:rsidR="0020792D" w:rsidRDefault="0020792D">
            <w:pPr>
              <w:pStyle w:val="Default"/>
              <w:rPr>
                <w:sz w:val="22"/>
                <w:szCs w:val="22"/>
              </w:rPr>
            </w:pPr>
            <w:r>
              <w:rPr>
                <w:sz w:val="22"/>
                <w:szCs w:val="22"/>
              </w:rPr>
              <w:lastRenderedPageBreak/>
              <w:t xml:space="preserve">Capacidad mínima de cantidad unidades de almacenamiento: 16 </w:t>
            </w:r>
          </w:p>
        </w:tc>
      </w:tr>
      <w:tr w:rsidR="0020792D" w14:paraId="71E0231C" w14:textId="77777777" w:rsidTr="00172F0D">
        <w:trPr>
          <w:trHeight w:val="229"/>
        </w:trPr>
        <w:tc>
          <w:tcPr>
            <w:tcW w:w="3866" w:type="dxa"/>
          </w:tcPr>
          <w:p w14:paraId="09024860" w14:textId="77777777" w:rsidR="0020792D" w:rsidRDefault="0020792D">
            <w:pPr>
              <w:pStyle w:val="Default"/>
              <w:rPr>
                <w:sz w:val="22"/>
                <w:szCs w:val="22"/>
              </w:rPr>
            </w:pPr>
            <w:r>
              <w:rPr>
                <w:sz w:val="22"/>
                <w:szCs w:val="22"/>
              </w:rPr>
              <w:lastRenderedPageBreak/>
              <w:t xml:space="preserve">Controladora y configuración de RAID </w:t>
            </w:r>
          </w:p>
        </w:tc>
        <w:tc>
          <w:tcPr>
            <w:tcW w:w="3866" w:type="dxa"/>
          </w:tcPr>
          <w:p w14:paraId="31BCA80F" w14:textId="3CE23354" w:rsidR="0020792D" w:rsidRDefault="0020792D" w:rsidP="0020792D">
            <w:pPr>
              <w:pStyle w:val="Default"/>
              <w:rPr>
                <w:rFonts w:cstheme="minorBidi"/>
                <w:color w:val="auto"/>
              </w:rPr>
            </w:pPr>
            <w:r>
              <w:rPr>
                <w:sz w:val="22"/>
                <w:szCs w:val="22"/>
              </w:rPr>
              <w:t xml:space="preserve">Controladora dedicada (Hardware) configurada para RAID 5 que cumpla con: </w:t>
            </w:r>
          </w:p>
          <w:p w14:paraId="2D8817EC" w14:textId="77777777" w:rsidR="0020792D" w:rsidRDefault="0020792D" w:rsidP="0020792D">
            <w:pPr>
              <w:pStyle w:val="Default"/>
              <w:rPr>
                <w:rFonts w:cstheme="minorBidi"/>
              </w:rPr>
            </w:pPr>
            <w:r>
              <w:rPr>
                <w:rFonts w:cstheme="minorBidi"/>
              </w:rPr>
              <w:t xml:space="preserve">Chipsets Intel compatibles </w:t>
            </w:r>
          </w:p>
          <w:p w14:paraId="590A95B8" w14:textId="70B94F16" w:rsidR="0020792D" w:rsidRDefault="0020792D" w:rsidP="0020792D">
            <w:pPr>
              <w:pStyle w:val="Default"/>
              <w:rPr>
                <w:rFonts w:cstheme="minorBidi"/>
                <w:sz w:val="22"/>
                <w:szCs w:val="22"/>
              </w:rPr>
            </w:pPr>
            <w:r>
              <w:rPr>
                <w:rFonts w:cstheme="minorBidi"/>
                <w:sz w:val="22"/>
                <w:szCs w:val="22"/>
              </w:rPr>
              <w:t xml:space="preserve">Una unidad de disco duro ATA serie (SATA) </w:t>
            </w:r>
          </w:p>
          <w:p w14:paraId="061E9DA5" w14:textId="101BEF3D" w:rsidR="0020792D" w:rsidRDefault="0020792D" w:rsidP="0020792D">
            <w:pPr>
              <w:pStyle w:val="Default"/>
              <w:rPr>
                <w:rFonts w:cstheme="minorBidi"/>
                <w:sz w:val="22"/>
                <w:szCs w:val="22"/>
              </w:rPr>
            </w:pPr>
            <w:r>
              <w:rPr>
                <w:rFonts w:cstheme="minorBidi"/>
                <w:sz w:val="22"/>
                <w:szCs w:val="22"/>
              </w:rPr>
              <w:t xml:space="preserve"> Controlador RAID habilitado en el BIOS </w:t>
            </w:r>
          </w:p>
          <w:p w14:paraId="5F9288B3" w14:textId="1AB5AE89" w:rsidR="0020792D" w:rsidRDefault="0020792D" w:rsidP="0020792D">
            <w:pPr>
              <w:pStyle w:val="Default"/>
              <w:rPr>
                <w:sz w:val="22"/>
                <w:szCs w:val="22"/>
              </w:rPr>
            </w:pPr>
            <w:r>
              <w:rPr>
                <w:rFonts w:cstheme="minorBidi"/>
                <w:sz w:val="22"/>
                <w:szCs w:val="22"/>
              </w:rPr>
              <w:t xml:space="preserve"> </w:t>
            </w:r>
            <w:r>
              <w:rPr>
                <w:sz w:val="22"/>
                <w:szCs w:val="22"/>
              </w:rPr>
              <w:t xml:space="preserve">BIOS de la </w:t>
            </w:r>
            <w:proofErr w:type="spellStart"/>
            <w:r>
              <w:rPr>
                <w:sz w:val="22"/>
                <w:szCs w:val="22"/>
              </w:rPr>
              <w:t>motherboard</w:t>
            </w:r>
            <w:proofErr w:type="spellEnd"/>
            <w:r>
              <w:rPr>
                <w:sz w:val="22"/>
                <w:szCs w:val="22"/>
              </w:rPr>
              <w:t xml:space="preserve"> que incluye la primera ROM de la opción Intel </w:t>
            </w:r>
          </w:p>
          <w:p w14:paraId="139318FE" w14:textId="525C602B" w:rsidR="0020792D" w:rsidRDefault="0020792D" w:rsidP="0020792D">
            <w:pPr>
              <w:pStyle w:val="Default"/>
              <w:rPr>
                <w:sz w:val="22"/>
                <w:szCs w:val="22"/>
              </w:rPr>
            </w:pPr>
            <w:r>
              <w:rPr>
                <w:sz w:val="22"/>
                <w:szCs w:val="22"/>
              </w:rPr>
              <w:t xml:space="preserve">Software de Intel RST </w:t>
            </w:r>
          </w:p>
          <w:p w14:paraId="379F35CF" w14:textId="15D45063" w:rsidR="0020792D" w:rsidRDefault="0020792D">
            <w:pPr>
              <w:pStyle w:val="Default"/>
              <w:rPr>
                <w:sz w:val="22"/>
                <w:szCs w:val="22"/>
              </w:rPr>
            </w:pPr>
          </w:p>
        </w:tc>
      </w:tr>
      <w:tr w:rsidR="0020792D" w:rsidRPr="00D079D6" w14:paraId="2A16A77E" w14:textId="77777777" w:rsidTr="00172F0D">
        <w:trPr>
          <w:trHeight w:val="229"/>
        </w:trPr>
        <w:tc>
          <w:tcPr>
            <w:tcW w:w="3866" w:type="dxa"/>
          </w:tcPr>
          <w:p w14:paraId="1C7D607C" w14:textId="77777777" w:rsidR="0020792D" w:rsidRDefault="0020792D">
            <w:pPr>
              <w:pStyle w:val="Default"/>
              <w:rPr>
                <w:sz w:val="22"/>
                <w:szCs w:val="22"/>
              </w:rPr>
            </w:pPr>
            <w:proofErr w:type="spellStart"/>
            <w:r>
              <w:rPr>
                <w:sz w:val="22"/>
                <w:szCs w:val="22"/>
              </w:rPr>
              <w:t>Boot</w:t>
            </w:r>
            <w:proofErr w:type="spellEnd"/>
            <w:r>
              <w:rPr>
                <w:sz w:val="22"/>
                <w:szCs w:val="22"/>
              </w:rPr>
              <w:t xml:space="preserve"> </w:t>
            </w:r>
            <w:proofErr w:type="spellStart"/>
            <w:r>
              <w:rPr>
                <w:sz w:val="22"/>
                <w:szCs w:val="22"/>
              </w:rPr>
              <w:t>Optimized</w:t>
            </w:r>
            <w:proofErr w:type="spellEnd"/>
            <w:r>
              <w:rPr>
                <w:sz w:val="22"/>
                <w:szCs w:val="22"/>
              </w:rPr>
              <w:t xml:space="preserve"> Storage </w:t>
            </w:r>
            <w:proofErr w:type="spellStart"/>
            <w:r>
              <w:rPr>
                <w:sz w:val="22"/>
                <w:szCs w:val="22"/>
              </w:rPr>
              <w:t>Cards</w:t>
            </w:r>
            <w:proofErr w:type="spellEnd"/>
            <w:r>
              <w:rPr>
                <w:sz w:val="22"/>
                <w:szCs w:val="22"/>
              </w:rPr>
              <w:t xml:space="preserve"> </w:t>
            </w:r>
          </w:p>
        </w:tc>
        <w:tc>
          <w:tcPr>
            <w:tcW w:w="3866" w:type="dxa"/>
          </w:tcPr>
          <w:p w14:paraId="10EB332B" w14:textId="77777777" w:rsidR="0020792D" w:rsidRPr="0020792D" w:rsidRDefault="0020792D">
            <w:pPr>
              <w:pStyle w:val="Default"/>
              <w:rPr>
                <w:sz w:val="22"/>
                <w:szCs w:val="22"/>
                <w:lang w:val="en-US"/>
              </w:rPr>
            </w:pPr>
            <w:r w:rsidRPr="0020792D">
              <w:rPr>
                <w:sz w:val="22"/>
                <w:szCs w:val="22"/>
                <w:lang w:val="en-US"/>
              </w:rPr>
              <w:t>BOSS controller card + with 2 M.2 Sticks 240G (RAID 1</w:t>
            </w:r>
            <w:proofErr w:type="gramStart"/>
            <w:r w:rsidRPr="0020792D">
              <w:rPr>
                <w:sz w:val="22"/>
                <w:szCs w:val="22"/>
                <w:lang w:val="en-US"/>
              </w:rPr>
              <w:t>),FH</w:t>
            </w:r>
            <w:proofErr w:type="gramEnd"/>
            <w:r w:rsidRPr="0020792D">
              <w:rPr>
                <w:sz w:val="22"/>
                <w:szCs w:val="22"/>
                <w:lang w:val="en-US"/>
              </w:rPr>
              <w:t xml:space="preserve"> </w:t>
            </w:r>
          </w:p>
        </w:tc>
      </w:tr>
      <w:tr w:rsidR="0020792D" w:rsidRPr="00D079D6" w14:paraId="58D7DB94" w14:textId="77777777" w:rsidTr="00172F0D">
        <w:trPr>
          <w:trHeight w:val="229"/>
        </w:trPr>
        <w:tc>
          <w:tcPr>
            <w:tcW w:w="3866" w:type="dxa"/>
          </w:tcPr>
          <w:p w14:paraId="422444B5" w14:textId="77777777" w:rsidR="0020792D" w:rsidRDefault="0020792D">
            <w:pPr>
              <w:pStyle w:val="Default"/>
              <w:rPr>
                <w:sz w:val="22"/>
                <w:szCs w:val="22"/>
              </w:rPr>
            </w:pPr>
            <w:r>
              <w:rPr>
                <w:sz w:val="22"/>
                <w:szCs w:val="22"/>
              </w:rPr>
              <w:t xml:space="preserve">Fuente de alimentación </w:t>
            </w:r>
          </w:p>
        </w:tc>
        <w:tc>
          <w:tcPr>
            <w:tcW w:w="3866" w:type="dxa"/>
          </w:tcPr>
          <w:p w14:paraId="046CB13B" w14:textId="77777777" w:rsidR="0020792D" w:rsidRPr="0020792D" w:rsidRDefault="0020792D">
            <w:pPr>
              <w:pStyle w:val="Default"/>
              <w:rPr>
                <w:sz w:val="22"/>
                <w:szCs w:val="22"/>
                <w:lang w:val="en-US"/>
              </w:rPr>
            </w:pPr>
            <w:r w:rsidRPr="0020792D">
              <w:rPr>
                <w:sz w:val="22"/>
                <w:szCs w:val="22"/>
                <w:lang w:val="en-US"/>
              </w:rPr>
              <w:t xml:space="preserve">Dual, Hot-plug, Redundant Power Supply (1+1), 1100W </w:t>
            </w:r>
          </w:p>
        </w:tc>
      </w:tr>
      <w:tr w:rsidR="0020792D" w14:paraId="35B8D53D" w14:textId="77777777" w:rsidTr="00172F0D">
        <w:trPr>
          <w:trHeight w:val="229"/>
        </w:trPr>
        <w:tc>
          <w:tcPr>
            <w:tcW w:w="3866" w:type="dxa"/>
          </w:tcPr>
          <w:p w14:paraId="6C0FB0FA" w14:textId="77777777" w:rsidR="0020792D" w:rsidRDefault="0020792D">
            <w:pPr>
              <w:pStyle w:val="Default"/>
              <w:rPr>
                <w:sz w:val="22"/>
                <w:szCs w:val="22"/>
              </w:rPr>
            </w:pPr>
            <w:r>
              <w:rPr>
                <w:sz w:val="22"/>
                <w:szCs w:val="22"/>
              </w:rPr>
              <w:t xml:space="preserve">Cable de poder </w:t>
            </w:r>
          </w:p>
        </w:tc>
        <w:tc>
          <w:tcPr>
            <w:tcW w:w="3866" w:type="dxa"/>
          </w:tcPr>
          <w:p w14:paraId="31055C75" w14:textId="77777777" w:rsidR="0020792D" w:rsidRDefault="0020792D">
            <w:pPr>
              <w:pStyle w:val="Default"/>
              <w:rPr>
                <w:sz w:val="22"/>
                <w:szCs w:val="22"/>
              </w:rPr>
            </w:pPr>
            <w:r>
              <w:rPr>
                <w:sz w:val="22"/>
                <w:szCs w:val="22"/>
              </w:rPr>
              <w:t xml:space="preserve">Incluido para cada fuente </w:t>
            </w:r>
          </w:p>
        </w:tc>
      </w:tr>
      <w:tr w:rsidR="0020792D" w14:paraId="25F2D5FA" w14:textId="77777777" w:rsidTr="00172F0D">
        <w:trPr>
          <w:trHeight w:val="229"/>
        </w:trPr>
        <w:tc>
          <w:tcPr>
            <w:tcW w:w="3866" w:type="dxa"/>
          </w:tcPr>
          <w:p w14:paraId="0ED94BBF" w14:textId="77777777" w:rsidR="0020792D" w:rsidRDefault="0020792D">
            <w:pPr>
              <w:pStyle w:val="Default"/>
              <w:rPr>
                <w:sz w:val="22"/>
                <w:szCs w:val="22"/>
              </w:rPr>
            </w:pPr>
            <w:proofErr w:type="spellStart"/>
            <w:r>
              <w:rPr>
                <w:sz w:val="22"/>
                <w:szCs w:val="22"/>
              </w:rPr>
              <w:t>Embedded</w:t>
            </w:r>
            <w:proofErr w:type="spellEnd"/>
            <w:r>
              <w:rPr>
                <w:sz w:val="22"/>
                <w:szCs w:val="22"/>
              </w:rPr>
              <w:t xml:space="preserve"> </w:t>
            </w:r>
            <w:proofErr w:type="spellStart"/>
            <w:r>
              <w:rPr>
                <w:sz w:val="22"/>
                <w:szCs w:val="22"/>
              </w:rPr>
              <w:t>Systems</w:t>
            </w:r>
            <w:proofErr w:type="spellEnd"/>
            <w:r>
              <w:rPr>
                <w:sz w:val="22"/>
                <w:szCs w:val="22"/>
              </w:rPr>
              <w:t xml:space="preserve"> Management </w:t>
            </w:r>
          </w:p>
        </w:tc>
        <w:tc>
          <w:tcPr>
            <w:tcW w:w="3866" w:type="dxa"/>
          </w:tcPr>
          <w:p w14:paraId="413B95E9" w14:textId="77777777" w:rsidR="0020792D" w:rsidRDefault="0020792D">
            <w:pPr>
              <w:pStyle w:val="Default"/>
              <w:rPr>
                <w:sz w:val="22"/>
                <w:szCs w:val="22"/>
              </w:rPr>
            </w:pPr>
            <w:r>
              <w:rPr>
                <w:sz w:val="22"/>
                <w:szCs w:val="22"/>
              </w:rPr>
              <w:t xml:space="preserve">Especificar el requerido por el sistema propuesto y ofrecido por el fabricante </w:t>
            </w:r>
          </w:p>
        </w:tc>
      </w:tr>
      <w:tr w:rsidR="0020792D" w:rsidRPr="00D079D6" w14:paraId="21B3BD34" w14:textId="77777777" w:rsidTr="00172F0D">
        <w:trPr>
          <w:trHeight w:val="229"/>
        </w:trPr>
        <w:tc>
          <w:tcPr>
            <w:tcW w:w="3866" w:type="dxa"/>
          </w:tcPr>
          <w:p w14:paraId="7007927D" w14:textId="77777777" w:rsidR="0020792D" w:rsidRDefault="0020792D">
            <w:pPr>
              <w:pStyle w:val="Default"/>
              <w:rPr>
                <w:sz w:val="22"/>
                <w:szCs w:val="22"/>
              </w:rPr>
            </w:pPr>
            <w:r>
              <w:rPr>
                <w:sz w:val="22"/>
                <w:szCs w:val="22"/>
              </w:rPr>
              <w:t xml:space="preserve">Adaptador de Red </w:t>
            </w:r>
          </w:p>
        </w:tc>
        <w:tc>
          <w:tcPr>
            <w:tcW w:w="3866" w:type="dxa"/>
          </w:tcPr>
          <w:p w14:paraId="6D8BA7DD" w14:textId="77777777" w:rsidR="0020792D" w:rsidRPr="0020792D" w:rsidRDefault="0020792D">
            <w:pPr>
              <w:pStyle w:val="Default"/>
              <w:rPr>
                <w:sz w:val="22"/>
                <w:szCs w:val="22"/>
                <w:lang w:val="en-US"/>
              </w:rPr>
            </w:pPr>
            <w:r w:rsidRPr="0020792D">
              <w:rPr>
                <w:sz w:val="22"/>
                <w:szCs w:val="22"/>
                <w:lang w:val="en-US"/>
              </w:rPr>
              <w:t xml:space="preserve">Broadcom 57416 2 Port 10Gb Base-T + 5720 2 Port 1Gb Base-T, </w:t>
            </w:r>
            <w:proofErr w:type="spellStart"/>
            <w:r w:rsidRPr="0020792D">
              <w:rPr>
                <w:sz w:val="22"/>
                <w:szCs w:val="22"/>
                <w:lang w:val="en-US"/>
              </w:rPr>
              <w:t>rNDC</w:t>
            </w:r>
            <w:proofErr w:type="spellEnd"/>
            <w:r w:rsidRPr="0020792D">
              <w:rPr>
                <w:sz w:val="22"/>
                <w:szCs w:val="22"/>
                <w:lang w:val="en-US"/>
              </w:rPr>
              <w:t xml:space="preserve"> </w:t>
            </w:r>
          </w:p>
        </w:tc>
      </w:tr>
      <w:tr w:rsidR="0020792D" w:rsidRPr="00D079D6" w14:paraId="3383DBAE" w14:textId="77777777" w:rsidTr="00172F0D">
        <w:trPr>
          <w:trHeight w:val="229"/>
        </w:trPr>
        <w:tc>
          <w:tcPr>
            <w:tcW w:w="3866" w:type="dxa"/>
          </w:tcPr>
          <w:p w14:paraId="076E275F" w14:textId="77777777" w:rsidR="0020792D" w:rsidRDefault="0020792D">
            <w:pPr>
              <w:pStyle w:val="Default"/>
              <w:rPr>
                <w:sz w:val="22"/>
                <w:szCs w:val="22"/>
              </w:rPr>
            </w:pPr>
            <w:r>
              <w:rPr>
                <w:sz w:val="22"/>
                <w:szCs w:val="22"/>
              </w:rPr>
              <w:t xml:space="preserve">Adaptador de red adicional </w:t>
            </w:r>
          </w:p>
        </w:tc>
        <w:tc>
          <w:tcPr>
            <w:tcW w:w="3866" w:type="dxa"/>
          </w:tcPr>
          <w:p w14:paraId="27E912D2" w14:textId="77777777" w:rsidR="0020792D" w:rsidRPr="0020792D" w:rsidRDefault="0020792D">
            <w:pPr>
              <w:pStyle w:val="Default"/>
              <w:rPr>
                <w:sz w:val="22"/>
                <w:szCs w:val="22"/>
                <w:lang w:val="en-US"/>
              </w:rPr>
            </w:pPr>
            <w:r w:rsidRPr="0020792D">
              <w:rPr>
                <w:sz w:val="22"/>
                <w:szCs w:val="22"/>
                <w:lang w:val="en-US"/>
              </w:rPr>
              <w:t xml:space="preserve">Broadcom 57416 Dual Port 10Gb, Base-T, PCIe Adapter, Full Height, </w:t>
            </w:r>
            <w:proofErr w:type="spellStart"/>
            <w:r w:rsidRPr="0020792D">
              <w:rPr>
                <w:sz w:val="22"/>
                <w:szCs w:val="22"/>
                <w:lang w:val="en-US"/>
              </w:rPr>
              <w:t>Cantidad</w:t>
            </w:r>
            <w:proofErr w:type="spellEnd"/>
            <w:r w:rsidRPr="0020792D">
              <w:rPr>
                <w:sz w:val="22"/>
                <w:szCs w:val="22"/>
                <w:lang w:val="en-US"/>
              </w:rPr>
              <w:t xml:space="preserve"> (6) </w:t>
            </w:r>
          </w:p>
        </w:tc>
      </w:tr>
      <w:tr w:rsidR="0020792D" w:rsidRPr="00D079D6" w14:paraId="43236F07" w14:textId="77777777" w:rsidTr="00172F0D">
        <w:trPr>
          <w:trHeight w:val="229"/>
        </w:trPr>
        <w:tc>
          <w:tcPr>
            <w:tcW w:w="3866" w:type="dxa"/>
          </w:tcPr>
          <w:p w14:paraId="648F706F" w14:textId="77777777" w:rsidR="0020792D" w:rsidRDefault="0020792D">
            <w:pPr>
              <w:pStyle w:val="Default"/>
              <w:rPr>
                <w:sz w:val="22"/>
                <w:szCs w:val="22"/>
              </w:rPr>
            </w:pPr>
            <w:r>
              <w:rPr>
                <w:sz w:val="22"/>
                <w:szCs w:val="22"/>
              </w:rPr>
              <w:t xml:space="preserve">Quick </w:t>
            </w:r>
            <w:proofErr w:type="spellStart"/>
            <w:r>
              <w:rPr>
                <w:sz w:val="22"/>
                <w:szCs w:val="22"/>
              </w:rPr>
              <w:t>Sync</w:t>
            </w:r>
            <w:proofErr w:type="spellEnd"/>
            <w:r>
              <w:rPr>
                <w:sz w:val="22"/>
                <w:szCs w:val="22"/>
              </w:rPr>
              <w:t xml:space="preserve"> </w:t>
            </w:r>
          </w:p>
        </w:tc>
        <w:tc>
          <w:tcPr>
            <w:tcW w:w="3866" w:type="dxa"/>
          </w:tcPr>
          <w:p w14:paraId="6DD94470" w14:textId="77777777" w:rsidR="0020792D" w:rsidRPr="0020792D" w:rsidRDefault="0020792D">
            <w:pPr>
              <w:pStyle w:val="Default"/>
              <w:rPr>
                <w:sz w:val="22"/>
                <w:szCs w:val="22"/>
                <w:lang w:val="en-US"/>
              </w:rPr>
            </w:pPr>
            <w:r w:rsidRPr="0020792D">
              <w:rPr>
                <w:sz w:val="22"/>
                <w:szCs w:val="22"/>
                <w:lang w:val="en-US"/>
              </w:rPr>
              <w:t xml:space="preserve">Quick Sync 2 (At-the-box </w:t>
            </w:r>
            <w:proofErr w:type="spellStart"/>
            <w:r w:rsidRPr="0020792D">
              <w:rPr>
                <w:sz w:val="22"/>
                <w:szCs w:val="22"/>
                <w:lang w:val="en-US"/>
              </w:rPr>
              <w:t>mgmt</w:t>
            </w:r>
            <w:proofErr w:type="spellEnd"/>
            <w:r w:rsidRPr="0020792D">
              <w:rPr>
                <w:sz w:val="22"/>
                <w:szCs w:val="22"/>
                <w:lang w:val="en-US"/>
              </w:rPr>
              <w:t xml:space="preserve">) </w:t>
            </w:r>
          </w:p>
        </w:tc>
      </w:tr>
      <w:tr w:rsidR="0020792D" w14:paraId="79C3AA52" w14:textId="77777777" w:rsidTr="00172F0D">
        <w:trPr>
          <w:trHeight w:val="229"/>
        </w:trPr>
        <w:tc>
          <w:tcPr>
            <w:tcW w:w="3866" w:type="dxa"/>
          </w:tcPr>
          <w:p w14:paraId="41674093" w14:textId="77777777" w:rsidR="0020792D" w:rsidRDefault="0020792D">
            <w:pPr>
              <w:pStyle w:val="Default"/>
              <w:rPr>
                <w:sz w:val="22"/>
                <w:szCs w:val="22"/>
              </w:rPr>
            </w:pPr>
            <w:r>
              <w:rPr>
                <w:sz w:val="22"/>
                <w:szCs w:val="22"/>
              </w:rPr>
              <w:t xml:space="preserve">Guías para rack </w:t>
            </w:r>
          </w:p>
        </w:tc>
        <w:tc>
          <w:tcPr>
            <w:tcW w:w="3866" w:type="dxa"/>
          </w:tcPr>
          <w:p w14:paraId="312529DC" w14:textId="77777777" w:rsidR="0020792D" w:rsidRDefault="0020792D">
            <w:pPr>
              <w:pStyle w:val="Default"/>
              <w:rPr>
                <w:sz w:val="22"/>
                <w:szCs w:val="22"/>
              </w:rPr>
            </w:pPr>
            <w:r>
              <w:rPr>
                <w:sz w:val="22"/>
                <w:szCs w:val="22"/>
              </w:rPr>
              <w:t xml:space="preserve">Rieles deslizantes con brazo o soporte para administración de cableado </w:t>
            </w:r>
          </w:p>
        </w:tc>
      </w:tr>
      <w:tr w:rsidR="0020792D" w:rsidRPr="00D079D6" w14:paraId="410523C0" w14:textId="77777777" w:rsidTr="00172F0D">
        <w:trPr>
          <w:trHeight w:val="229"/>
        </w:trPr>
        <w:tc>
          <w:tcPr>
            <w:tcW w:w="3866" w:type="dxa"/>
          </w:tcPr>
          <w:p w14:paraId="6269FDFA" w14:textId="77777777" w:rsidR="0020792D" w:rsidRDefault="0020792D">
            <w:pPr>
              <w:pStyle w:val="Default"/>
              <w:rPr>
                <w:sz w:val="22"/>
                <w:szCs w:val="22"/>
              </w:rPr>
            </w:pPr>
            <w:r>
              <w:rPr>
                <w:sz w:val="22"/>
                <w:szCs w:val="22"/>
              </w:rPr>
              <w:t xml:space="preserve">Garantía básica </w:t>
            </w:r>
          </w:p>
        </w:tc>
        <w:tc>
          <w:tcPr>
            <w:tcW w:w="3866" w:type="dxa"/>
          </w:tcPr>
          <w:p w14:paraId="17415922" w14:textId="77777777" w:rsidR="0020792D" w:rsidRPr="0020792D" w:rsidRDefault="0020792D">
            <w:pPr>
              <w:pStyle w:val="Default"/>
              <w:rPr>
                <w:sz w:val="22"/>
                <w:szCs w:val="22"/>
                <w:lang w:val="en-US"/>
              </w:rPr>
            </w:pPr>
            <w:r w:rsidRPr="0020792D">
              <w:rPr>
                <w:sz w:val="22"/>
                <w:szCs w:val="22"/>
                <w:lang w:val="en-US"/>
              </w:rPr>
              <w:t xml:space="preserve">3Yr Basic Warranty - Next Business Day - Minimum Warranty </w:t>
            </w:r>
          </w:p>
        </w:tc>
      </w:tr>
      <w:tr w:rsidR="0020792D" w:rsidRPr="00D079D6" w14:paraId="1C48B7A7" w14:textId="77777777" w:rsidTr="00172F0D">
        <w:trPr>
          <w:trHeight w:val="229"/>
        </w:trPr>
        <w:tc>
          <w:tcPr>
            <w:tcW w:w="3866" w:type="dxa"/>
          </w:tcPr>
          <w:p w14:paraId="7D3951A4" w14:textId="77777777" w:rsidR="0020792D" w:rsidRDefault="0020792D">
            <w:pPr>
              <w:pStyle w:val="Default"/>
              <w:rPr>
                <w:sz w:val="22"/>
                <w:szCs w:val="22"/>
              </w:rPr>
            </w:pPr>
            <w:r>
              <w:rPr>
                <w:sz w:val="22"/>
                <w:szCs w:val="22"/>
              </w:rPr>
              <w:t xml:space="preserve">Servicios ampliados </w:t>
            </w:r>
          </w:p>
        </w:tc>
        <w:tc>
          <w:tcPr>
            <w:tcW w:w="3866" w:type="dxa"/>
          </w:tcPr>
          <w:p w14:paraId="1AFDF911" w14:textId="77777777" w:rsidR="0020792D" w:rsidRPr="0020792D" w:rsidRDefault="0020792D">
            <w:pPr>
              <w:pStyle w:val="Default"/>
              <w:rPr>
                <w:sz w:val="22"/>
                <w:szCs w:val="22"/>
                <w:lang w:val="en-US"/>
              </w:rPr>
            </w:pPr>
            <w:r w:rsidRPr="0020792D">
              <w:rPr>
                <w:sz w:val="22"/>
                <w:szCs w:val="22"/>
                <w:lang w:val="en-US"/>
              </w:rPr>
              <w:t xml:space="preserve">3Yr ProSupport Plus and Next Business Day Onsite Service </w:t>
            </w:r>
          </w:p>
        </w:tc>
      </w:tr>
    </w:tbl>
    <w:p w14:paraId="257BD2E9" w14:textId="353C4D2A" w:rsidR="0020792D" w:rsidRDefault="0020792D">
      <w:pPr>
        <w:rPr>
          <w:rFonts w:ascii="Arial" w:hAnsi="Arial" w:cs="Arial"/>
          <w:sz w:val="20"/>
          <w:szCs w:val="20"/>
          <w:lang w:val="en-US"/>
        </w:rPr>
      </w:pPr>
    </w:p>
    <w:p w14:paraId="656917E0" w14:textId="0BC5E17E" w:rsidR="00172F0D" w:rsidRDefault="00172F0D">
      <w:pPr>
        <w:rPr>
          <w:rFonts w:ascii="Arial" w:hAnsi="Arial" w:cs="Arial"/>
          <w:sz w:val="20"/>
          <w:szCs w:val="20"/>
          <w:lang w:val="en-US"/>
        </w:rPr>
      </w:pPr>
    </w:p>
    <w:p w14:paraId="41684E94" w14:textId="705C4468" w:rsidR="00172F0D" w:rsidRPr="00D80CF2" w:rsidRDefault="00D80CF2">
      <w:pPr>
        <w:rPr>
          <w:rFonts w:ascii="Arial" w:hAnsi="Arial" w:cs="Arial"/>
          <w:b/>
          <w:sz w:val="24"/>
          <w:szCs w:val="24"/>
        </w:rPr>
      </w:pPr>
      <w:r w:rsidRPr="00D80CF2">
        <w:rPr>
          <w:rFonts w:ascii="Arial" w:hAnsi="Arial" w:cs="Arial"/>
          <w:b/>
          <w:sz w:val="24"/>
          <w:szCs w:val="24"/>
        </w:rPr>
        <w:t xml:space="preserve">Campos Requeridos Formulario de entrada - Planilla de Registro </w:t>
      </w:r>
    </w:p>
    <w:tbl>
      <w:tblPr>
        <w:tblW w:w="6000" w:type="dxa"/>
        <w:tblInd w:w="70" w:type="dxa"/>
        <w:tblCellMar>
          <w:left w:w="70" w:type="dxa"/>
          <w:right w:w="70" w:type="dxa"/>
        </w:tblCellMar>
        <w:tblLook w:val="04A0" w:firstRow="1" w:lastRow="0" w:firstColumn="1" w:lastColumn="0" w:noHBand="0" w:noVBand="1"/>
      </w:tblPr>
      <w:tblGrid>
        <w:gridCol w:w="1418"/>
        <w:gridCol w:w="1439"/>
        <w:gridCol w:w="1418"/>
        <w:gridCol w:w="1370"/>
        <w:gridCol w:w="2452"/>
      </w:tblGrid>
      <w:tr w:rsidR="00D80CF2" w:rsidRPr="00D80CF2" w14:paraId="5EB331FC" w14:textId="77777777" w:rsidTr="00D80CF2">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17DC"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No.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05C23D9"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No. DE TICKET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9D7F5E6"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MEDIO DEL REPORTE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D016FFD"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ORDEN DE LA ENTIDAD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B322B47"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SECTOR/DEPARTAMENTO</w:t>
            </w:r>
          </w:p>
        </w:tc>
      </w:tr>
      <w:tr w:rsidR="00D80CF2" w:rsidRPr="00D80CF2" w14:paraId="70D86029" w14:textId="77777777" w:rsidTr="00D80CF2">
        <w:trPr>
          <w:trHeight w:val="300"/>
        </w:trPr>
        <w:tc>
          <w:tcPr>
            <w:tcW w:w="1200" w:type="dxa"/>
            <w:tcBorders>
              <w:top w:val="nil"/>
              <w:left w:val="nil"/>
              <w:bottom w:val="nil"/>
              <w:right w:val="nil"/>
            </w:tcBorders>
            <w:shd w:val="clear" w:color="auto" w:fill="auto"/>
            <w:noWrap/>
            <w:vAlign w:val="bottom"/>
            <w:hideMark/>
          </w:tcPr>
          <w:p w14:paraId="1B917FAB" w14:textId="77777777" w:rsidR="00D80CF2" w:rsidRPr="00D80CF2" w:rsidRDefault="00D80CF2" w:rsidP="00D80CF2">
            <w:pPr>
              <w:spacing w:after="0" w:line="240" w:lineRule="auto"/>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14:paraId="37DB84E9"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7B86A48D"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7763A11E"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4428EB51"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r>
      <w:tr w:rsidR="00D80CF2" w:rsidRPr="00D80CF2" w14:paraId="28BAE187" w14:textId="77777777" w:rsidTr="00D80CF2">
        <w:trPr>
          <w:trHeight w:val="9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DE7A7"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NOMBRE DE LA ENTIDAD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CDCB4BB"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FECHA DE SOLICITUD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A0E3336"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CATEGORÍA DEL SERVICIO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DCF9130"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NOMBRE DEL SERVICIO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F018792"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CLASE DE INCIDENTE</w:t>
            </w:r>
          </w:p>
        </w:tc>
      </w:tr>
      <w:tr w:rsidR="00D80CF2" w:rsidRPr="00D80CF2" w14:paraId="69A52436" w14:textId="77777777" w:rsidTr="00D80CF2">
        <w:trPr>
          <w:trHeight w:val="300"/>
        </w:trPr>
        <w:tc>
          <w:tcPr>
            <w:tcW w:w="1200" w:type="dxa"/>
            <w:tcBorders>
              <w:top w:val="nil"/>
              <w:left w:val="nil"/>
              <w:bottom w:val="nil"/>
              <w:right w:val="nil"/>
            </w:tcBorders>
            <w:shd w:val="clear" w:color="auto" w:fill="auto"/>
            <w:noWrap/>
            <w:vAlign w:val="bottom"/>
            <w:hideMark/>
          </w:tcPr>
          <w:p w14:paraId="246ACAB1" w14:textId="77777777" w:rsidR="00D80CF2" w:rsidRPr="00D80CF2" w:rsidRDefault="00D80CF2" w:rsidP="00D80CF2">
            <w:pPr>
              <w:spacing w:after="0" w:line="240" w:lineRule="auto"/>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14:paraId="2FEEA931"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71DD7BD0"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58E3D18C"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36EAD2C8"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r>
      <w:tr w:rsidR="00D80CF2" w:rsidRPr="00D80CF2" w14:paraId="2B6E508F" w14:textId="77777777" w:rsidTr="00D80CF2">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B187C"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lastRenderedPageBreak/>
              <w:t>TIPO DE INCIDENTE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4A974A54"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IMPORTANCIA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90B46F8"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CAUSA RAIZ</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0AE5264"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DESCRIPCIÓN</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A9B85F2"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SOLICITUD</w:t>
            </w:r>
          </w:p>
        </w:tc>
      </w:tr>
      <w:tr w:rsidR="00D80CF2" w:rsidRPr="00D80CF2" w14:paraId="38332AD9" w14:textId="77777777" w:rsidTr="00D80CF2">
        <w:trPr>
          <w:trHeight w:val="300"/>
        </w:trPr>
        <w:tc>
          <w:tcPr>
            <w:tcW w:w="1200" w:type="dxa"/>
            <w:tcBorders>
              <w:top w:val="nil"/>
              <w:left w:val="nil"/>
              <w:bottom w:val="nil"/>
              <w:right w:val="nil"/>
            </w:tcBorders>
            <w:shd w:val="clear" w:color="auto" w:fill="auto"/>
            <w:noWrap/>
            <w:vAlign w:val="bottom"/>
            <w:hideMark/>
          </w:tcPr>
          <w:p w14:paraId="421547E7" w14:textId="77777777" w:rsidR="00D80CF2" w:rsidRPr="00D80CF2" w:rsidRDefault="00D80CF2" w:rsidP="00D80CF2">
            <w:pPr>
              <w:spacing w:after="0" w:line="240" w:lineRule="auto"/>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14:paraId="45744D79"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19CCEBA8"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6579578F"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7B20E662"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r>
      <w:tr w:rsidR="00D80CF2" w:rsidRPr="00D80CF2" w14:paraId="6AA279FD" w14:textId="77777777" w:rsidTr="00D80CF2">
        <w:trPr>
          <w:trHeight w:val="12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F9A61"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NOMBRE RESPONSABLE ENTIDAD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1D24304"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CORREO RESPONSABLE ENTIDAD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A61F11B"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TELEFONO RESPONSABLE ENTIDAD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A6B6E01"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FECHA DE RESPUESTA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667E3FE"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EXPERTO ACOMPAÑAMIENTO</w:t>
            </w:r>
          </w:p>
        </w:tc>
      </w:tr>
      <w:tr w:rsidR="00D80CF2" w:rsidRPr="00D80CF2" w14:paraId="2525E153" w14:textId="77777777" w:rsidTr="00D80CF2">
        <w:trPr>
          <w:trHeight w:val="300"/>
        </w:trPr>
        <w:tc>
          <w:tcPr>
            <w:tcW w:w="1200" w:type="dxa"/>
            <w:tcBorders>
              <w:top w:val="nil"/>
              <w:left w:val="nil"/>
              <w:bottom w:val="nil"/>
              <w:right w:val="nil"/>
            </w:tcBorders>
            <w:shd w:val="clear" w:color="auto" w:fill="auto"/>
            <w:noWrap/>
            <w:vAlign w:val="bottom"/>
            <w:hideMark/>
          </w:tcPr>
          <w:p w14:paraId="762EBC45" w14:textId="77777777" w:rsidR="00D80CF2" w:rsidRPr="00D80CF2" w:rsidRDefault="00D80CF2" w:rsidP="00D80CF2">
            <w:pPr>
              <w:spacing w:after="0" w:line="240" w:lineRule="auto"/>
              <w:rPr>
                <w:rFonts w:ascii="Calibri" w:eastAsia="Times New Roman" w:hAnsi="Calibri" w:cs="Calibri"/>
                <w:color w:val="000000"/>
                <w:lang w:eastAsia="es-CO"/>
              </w:rPr>
            </w:pPr>
          </w:p>
        </w:tc>
        <w:tc>
          <w:tcPr>
            <w:tcW w:w="1200" w:type="dxa"/>
            <w:tcBorders>
              <w:top w:val="nil"/>
              <w:left w:val="nil"/>
              <w:bottom w:val="nil"/>
              <w:right w:val="nil"/>
            </w:tcBorders>
            <w:shd w:val="clear" w:color="auto" w:fill="auto"/>
            <w:noWrap/>
            <w:vAlign w:val="bottom"/>
            <w:hideMark/>
          </w:tcPr>
          <w:p w14:paraId="79F98957"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7516CC8F"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06B270D4"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c>
          <w:tcPr>
            <w:tcW w:w="1200" w:type="dxa"/>
            <w:tcBorders>
              <w:top w:val="nil"/>
              <w:left w:val="nil"/>
              <w:bottom w:val="nil"/>
              <w:right w:val="nil"/>
            </w:tcBorders>
            <w:shd w:val="clear" w:color="auto" w:fill="auto"/>
            <w:noWrap/>
            <w:vAlign w:val="bottom"/>
            <w:hideMark/>
          </w:tcPr>
          <w:p w14:paraId="069F37A1" w14:textId="77777777" w:rsidR="00D80CF2" w:rsidRPr="00D80CF2" w:rsidRDefault="00D80CF2" w:rsidP="00D80CF2">
            <w:pPr>
              <w:spacing w:after="0" w:line="240" w:lineRule="auto"/>
              <w:rPr>
                <w:rFonts w:ascii="Times New Roman" w:eastAsia="Times New Roman" w:hAnsi="Times New Roman" w:cs="Times New Roman"/>
                <w:sz w:val="20"/>
                <w:szCs w:val="20"/>
                <w:lang w:eastAsia="es-CO"/>
              </w:rPr>
            </w:pPr>
          </w:p>
        </w:tc>
      </w:tr>
      <w:tr w:rsidR="00D80CF2" w:rsidRPr="00D80CF2" w14:paraId="29DBD436" w14:textId="77777777" w:rsidTr="00D80CF2">
        <w:trPr>
          <w:trHeight w:val="12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1EBB8"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ACCIONES</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0FCBF05"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RESPUESTA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B39001A"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ESTADO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4C5C4C2"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NOMBRE DEL DOCUMENTO SOPORTE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219FBC0" w14:textId="77777777" w:rsidR="00D80CF2" w:rsidRPr="00D80CF2" w:rsidRDefault="00D80CF2" w:rsidP="00D80CF2">
            <w:pPr>
              <w:spacing w:after="0" w:line="240" w:lineRule="auto"/>
              <w:rPr>
                <w:rFonts w:ascii="Calibri" w:eastAsia="Times New Roman" w:hAnsi="Calibri" w:cs="Calibri"/>
                <w:color w:val="000000"/>
                <w:lang w:eastAsia="es-CO"/>
              </w:rPr>
            </w:pPr>
            <w:r w:rsidRPr="00D80CF2">
              <w:rPr>
                <w:rFonts w:ascii="Calibri" w:eastAsia="Times New Roman" w:hAnsi="Calibri" w:cs="Calibri"/>
                <w:color w:val="000000"/>
                <w:lang w:eastAsia="es-CO"/>
              </w:rPr>
              <w:t>RUTA EN SHAREPOINT DEL SOPORTE</w:t>
            </w:r>
          </w:p>
        </w:tc>
      </w:tr>
    </w:tbl>
    <w:p w14:paraId="37BC1C7B" w14:textId="54DC9D6B" w:rsidR="00172F0D" w:rsidRDefault="00172F0D">
      <w:pPr>
        <w:rPr>
          <w:rFonts w:ascii="Arial" w:hAnsi="Arial" w:cs="Arial"/>
          <w:sz w:val="20"/>
          <w:szCs w:val="20"/>
        </w:rPr>
      </w:pPr>
    </w:p>
    <w:sectPr w:rsidR="00172F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0F6"/>
    <w:multiLevelType w:val="hybridMultilevel"/>
    <w:tmpl w:val="BC708B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E109A4"/>
    <w:multiLevelType w:val="hybridMultilevel"/>
    <w:tmpl w:val="1DB871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6E58AF"/>
    <w:multiLevelType w:val="hybridMultilevel"/>
    <w:tmpl w:val="F7B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D272A"/>
    <w:multiLevelType w:val="hybridMultilevel"/>
    <w:tmpl w:val="4468D17C"/>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1BF3684F"/>
    <w:multiLevelType w:val="hybridMultilevel"/>
    <w:tmpl w:val="E7E834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3F3E43"/>
    <w:multiLevelType w:val="hybridMultilevel"/>
    <w:tmpl w:val="C74AF6A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2B702D2"/>
    <w:multiLevelType w:val="hybridMultilevel"/>
    <w:tmpl w:val="C4CC81D4"/>
    <w:lvl w:ilvl="0" w:tplc="5756099A">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9701C8"/>
    <w:multiLevelType w:val="hybridMultilevel"/>
    <w:tmpl w:val="0926538E"/>
    <w:lvl w:ilvl="0" w:tplc="29A04B8C">
      <w:start w:val="2"/>
      <w:numFmt w:val="bullet"/>
      <w:lvlText w:val="-"/>
      <w:lvlJc w:val="left"/>
      <w:pPr>
        <w:ind w:left="360" w:hanging="360"/>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286270B5"/>
    <w:multiLevelType w:val="hybridMultilevel"/>
    <w:tmpl w:val="58CAA5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CF0A60"/>
    <w:multiLevelType w:val="hybridMultilevel"/>
    <w:tmpl w:val="251C27A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0" w15:restartNumberingAfterBreak="0">
    <w:nsid w:val="2F8B1762"/>
    <w:multiLevelType w:val="hybridMultilevel"/>
    <w:tmpl w:val="E1E22C5C"/>
    <w:lvl w:ilvl="0" w:tplc="D18C9BD6">
      <w:start w:val="1"/>
      <w:numFmt w:val="decimal"/>
      <w:lvlText w:val="%1."/>
      <w:lvlJc w:val="left"/>
      <w:pPr>
        <w:ind w:left="1070" w:hanging="71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306255B7"/>
    <w:multiLevelType w:val="hybridMultilevel"/>
    <w:tmpl w:val="12603BC2"/>
    <w:lvl w:ilvl="0" w:tplc="29A04B8C">
      <w:start w:val="2"/>
      <w:numFmt w:val="bullet"/>
      <w:lvlText w:val="-"/>
      <w:lvlJc w:val="left"/>
      <w:pPr>
        <w:ind w:left="360" w:hanging="360"/>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6116802"/>
    <w:multiLevelType w:val="multilevel"/>
    <w:tmpl w:val="E0CA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8601F0"/>
    <w:multiLevelType w:val="hybridMultilevel"/>
    <w:tmpl w:val="1AF8F766"/>
    <w:lvl w:ilvl="0" w:tplc="5756099A">
      <w:start w:val="2"/>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B2D78F6"/>
    <w:multiLevelType w:val="hybridMultilevel"/>
    <w:tmpl w:val="A1326E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B9E4FE3"/>
    <w:multiLevelType w:val="hybridMultilevel"/>
    <w:tmpl w:val="8C52C8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68F0040"/>
    <w:multiLevelType w:val="hybridMultilevel"/>
    <w:tmpl w:val="9B408B4A"/>
    <w:lvl w:ilvl="0" w:tplc="580A000F">
      <w:start w:val="1"/>
      <w:numFmt w:val="decimal"/>
      <w:lvlText w:val="%1."/>
      <w:lvlJc w:val="left"/>
      <w:pPr>
        <w:ind w:left="1080" w:hanging="360"/>
      </w:p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7" w15:restartNumberingAfterBreak="0">
    <w:nsid w:val="7BA65587"/>
    <w:multiLevelType w:val="hybridMultilevel"/>
    <w:tmpl w:val="4242633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2"/>
  </w:num>
  <w:num w:numId="4">
    <w:abstractNumId w:val="5"/>
  </w:num>
  <w:num w:numId="5">
    <w:abstractNumId w:val="17"/>
  </w:num>
  <w:num w:numId="6">
    <w:abstractNumId w:val="16"/>
  </w:num>
  <w:num w:numId="7">
    <w:abstractNumId w:val="3"/>
  </w:num>
  <w:num w:numId="8">
    <w:abstractNumId w:val="10"/>
  </w:num>
  <w:num w:numId="9">
    <w:abstractNumId w:val="8"/>
  </w:num>
  <w:num w:numId="10">
    <w:abstractNumId w:val="6"/>
  </w:num>
  <w:num w:numId="11">
    <w:abstractNumId w:val="13"/>
  </w:num>
  <w:num w:numId="12">
    <w:abstractNumId w:val="0"/>
  </w:num>
  <w:num w:numId="13">
    <w:abstractNumId w:val="12"/>
  </w:num>
  <w:num w:numId="14">
    <w:abstractNumId w:val="4"/>
  </w:num>
  <w:num w:numId="15">
    <w:abstractNumId w:val="11"/>
  </w:num>
  <w:num w:numId="16">
    <w:abstractNumId w:val="15"/>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A38"/>
    <w:rsid w:val="000155C0"/>
    <w:rsid w:val="000344AD"/>
    <w:rsid w:val="00073796"/>
    <w:rsid w:val="0007561B"/>
    <w:rsid w:val="000E4613"/>
    <w:rsid w:val="00114204"/>
    <w:rsid w:val="00117F40"/>
    <w:rsid w:val="00131049"/>
    <w:rsid w:val="00172F0D"/>
    <w:rsid w:val="001771CD"/>
    <w:rsid w:val="001A7FA5"/>
    <w:rsid w:val="001B5D02"/>
    <w:rsid w:val="001F2E20"/>
    <w:rsid w:val="002001C0"/>
    <w:rsid w:val="0020792D"/>
    <w:rsid w:val="00232EEE"/>
    <w:rsid w:val="0024267B"/>
    <w:rsid w:val="0027578B"/>
    <w:rsid w:val="00282FD9"/>
    <w:rsid w:val="002A5A29"/>
    <w:rsid w:val="002A7D01"/>
    <w:rsid w:val="002F0280"/>
    <w:rsid w:val="002F5BBC"/>
    <w:rsid w:val="003434FC"/>
    <w:rsid w:val="00347FB5"/>
    <w:rsid w:val="00352A08"/>
    <w:rsid w:val="0039375D"/>
    <w:rsid w:val="003B24BF"/>
    <w:rsid w:val="003D3EE2"/>
    <w:rsid w:val="00406FF9"/>
    <w:rsid w:val="004653B3"/>
    <w:rsid w:val="00471704"/>
    <w:rsid w:val="00482D5C"/>
    <w:rsid w:val="004B0754"/>
    <w:rsid w:val="004F2A50"/>
    <w:rsid w:val="00506229"/>
    <w:rsid w:val="00540E29"/>
    <w:rsid w:val="005630DF"/>
    <w:rsid w:val="005912A7"/>
    <w:rsid w:val="00600B2B"/>
    <w:rsid w:val="00607F80"/>
    <w:rsid w:val="006660F2"/>
    <w:rsid w:val="006C4B45"/>
    <w:rsid w:val="006E6673"/>
    <w:rsid w:val="006F10E7"/>
    <w:rsid w:val="006F6D33"/>
    <w:rsid w:val="007163E7"/>
    <w:rsid w:val="00717D82"/>
    <w:rsid w:val="00734658"/>
    <w:rsid w:val="00742602"/>
    <w:rsid w:val="00757BA2"/>
    <w:rsid w:val="00760893"/>
    <w:rsid w:val="007A0357"/>
    <w:rsid w:val="007A665A"/>
    <w:rsid w:val="007F2B0B"/>
    <w:rsid w:val="008175AA"/>
    <w:rsid w:val="00823D18"/>
    <w:rsid w:val="0083776B"/>
    <w:rsid w:val="00851336"/>
    <w:rsid w:val="00883100"/>
    <w:rsid w:val="008A4048"/>
    <w:rsid w:val="008A44C0"/>
    <w:rsid w:val="00900E7C"/>
    <w:rsid w:val="009258C7"/>
    <w:rsid w:val="00927654"/>
    <w:rsid w:val="00954E89"/>
    <w:rsid w:val="00957CE9"/>
    <w:rsid w:val="0096514D"/>
    <w:rsid w:val="00974A2D"/>
    <w:rsid w:val="009B794B"/>
    <w:rsid w:val="009F590C"/>
    <w:rsid w:val="00A434FC"/>
    <w:rsid w:val="00A57A38"/>
    <w:rsid w:val="00A869E6"/>
    <w:rsid w:val="00AD3686"/>
    <w:rsid w:val="00B36FE5"/>
    <w:rsid w:val="00B43F6F"/>
    <w:rsid w:val="00B83018"/>
    <w:rsid w:val="00B84326"/>
    <w:rsid w:val="00B86DDB"/>
    <w:rsid w:val="00BA7AA3"/>
    <w:rsid w:val="00BE2F3A"/>
    <w:rsid w:val="00C20B21"/>
    <w:rsid w:val="00C25AEC"/>
    <w:rsid w:val="00C455D3"/>
    <w:rsid w:val="00C84A38"/>
    <w:rsid w:val="00CE402D"/>
    <w:rsid w:val="00CE4D06"/>
    <w:rsid w:val="00D079D6"/>
    <w:rsid w:val="00D12550"/>
    <w:rsid w:val="00D163C8"/>
    <w:rsid w:val="00D551F8"/>
    <w:rsid w:val="00D7302F"/>
    <w:rsid w:val="00D80CF2"/>
    <w:rsid w:val="00DC1CE8"/>
    <w:rsid w:val="00DE1075"/>
    <w:rsid w:val="00E46FEE"/>
    <w:rsid w:val="00E55421"/>
    <w:rsid w:val="00E81EDE"/>
    <w:rsid w:val="00E83AE2"/>
    <w:rsid w:val="00E87E6D"/>
    <w:rsid w:val="00EA4AEA"/>
    <w:rsid w:val="00EB3591"/>
    <w:rsid w:val="00EC3F9E"/>
    <w:rsid w:val="00EC7CC3"/>
    <w:rsid w:val="00F42E87"/>
    <w:rsid w:val="00F75A54"/>
    <w:rsid w:val="00F75DA0"/>
    <w:rsid w:val="00FD1FEB"/>
    <w:rsid w:val="00FF4C7E"/>
    <w:rsid w:val="00FF7F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B99D"/>
  <w15:docId w15:val="{E9C76623-2A37-4491-8186-150C5C5A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E6673"/>
    <w:rPr>
      <w:sz w:val="16"/>
      <w:szCs w:val="16"/>
    </w:rPr>
  </w:style>
  <w:style w:type="paragraph" w:styleId="Textocomentario">
    <w:name w:val="annotation text"/>
    <w:basedOn w:val="Normal"/>
    <w:link w:val="TextocomentarioCar"/>
    <w:uiPriority w:val="99"/>
    <w:semiHidden/>
    <w:unhideWhenUsed/>
    <w:rsid w:val="006E66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6673"/>
    <w:rPr>
      <w:sz w:val="20"/>
      <w:szCs w:val="20"/>
    </w:rPr>
  </w:style>
  <w:style w:type="paragraph" w:styleId="Textodeglobo">
    <w:name w:val="Balloon Text"/>
    <w:basedOn w:val="Normal"/>
    <w:link w:val="TextodegloboCar"/>
    <w:uiPriority w:val="99"/>
    <w:semiHidden/>
    <w:unhideWhenUsed/>
    <w:rsid w:val="006E66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673"/>
    <w:rPr>
      <w:rFonts w:ascii="Segoe UI" w:hAnsi="Segoe UI" w:cs="Segoe UI"/>
      <w:sz w:val="18"/>
      <w:szCs w:val="18"/>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List1,Bullet List"/>
    <w:basedOn w:val="Normal"/>
    <w:link w:val="PrrafodelistaCar"/>
    <w:uiPriority w:val="34"/>
    <w:qFormat/>
    <w:rsid w:val="00717D82"/>
    <w:pPr>
      <w:ind w:left="720"/>
      <w:contextualSpacing/>
    </w:pPr>
  </w:style>
  <w:style w:type="paragraph" w:styleId="Asuntodelcomentario">
    <w:name w:val="annotation subject"/>
    <w:basedOn w:val="Textocomentario"/>
    <w:next w:val="Textocomentario"/>
    <w:link w:val="AsuntodelcomentarioCar"/>
    <w:uiPriority w:val="99"/>
    <w:semiHidden/>
    <w:unhideWhenUsed/>
    <w:rsid w:val="0096514D"/>
    <w:rPr>
      <w:b/>
      <w:bCs/>
    </w:rPr>
  </w:style>
  <w:style w:type="character" w:customStyle="1" w:styleId="AsuntodelcomentarioCar">
    <w:name w:val="Asunto del comentario Car"/>
    <w:basedOn w:val="TextocomentarioCar"/>
    <w:link w:val="Asuntodelcomentario"/>
    <w:uiPriority w:val="99"/>
    <w:semiHidden/>
    <w:rsid w:val="0096514D"/>
    <w:rPr>
      <w:b/>
      <w:bCs/>
      <w:sz w:val="20"/>
      <w:szCs w:val="20"/>
    </w:rPr>
  </w:style>
  <w:style w:type="paragraph" w:styleId="Revisin">
    <w:name w:val="Revision"/>
    <w:hidden/>
    <w:uiPriority w:val="99"/>
    <w:semiHidden/>
    <w:rsid w:val="0096514D"/>
    <w:pPr>
      <w:spacing w:after="0" w:line="240" w:lineRule="auto"/>
    </w:p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List1 Car"/>
    <w:link w:val="Prrafodelista"/>
    <w:uiPriority w:val="34"/>
    <w:qFormat/>
    <w:locked/>
    <w:rsid w:val="002F5BBC"/>
  </w:style>
  <w:style w:type="character" w:customStyle="1" w:styleId="normaltextrun">
    <w:name w:val="normaltextrun"/>
    <w:basedOn w:val="Fuentedeprrafopredeter"/>
    <w:rsid w:val="00BE2F3A"/>
  </w:style>
  <w:style w:type="character" w:customStyle="1" w:styleId="eop">
    <w:name w:val="eop"/>
    <w:basedOn w:val="Fuentedeprrafopredeter"/>
    <w:rsid w:val="00BE2F3A"/>
  </w:style>
  <w:style w:type="paragraph" w:customStyle="1" w:styleId="paragraph">
    <w:name w:val="paragraph"/>
    <w:basedOn w:val="Normal"/>
    <w:rsid w:val="00BE2F3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39375D"/>
    <w:rPr>
      <w:i/>
      <w:iCs/>
    </w:rPr>
  </w:style>
  <w:style w:type="paragraph" w:styleId="Sinespaciado">
    <w:name w:val="No Spacing"/>
    <w:uiPriority w:val="1"/>
    <w:qFormat/>
    <w:rsid w:val="00073796"/>
    <w:rPr>
      <w:rFonts w:ascii="Calibri" w:eastAsia="Calibri" w:hAnsi="Calibri" w:cs="Times New Roman"/>
    </w:rPr>
  </w:style>
  <w:style w:type="character" w:styleId="Hipervnculo">
    <w:name w:val="Hyperlink"/>
    <w:basedOn w:val="Fuentedeprrafopredeter"/>
    <w:uiPriority w:val="99"/>
    <w:unhideWhenUsed/>
    <w:rsid w:val="00282FD9"/>
    <w:rPr>
      <w:color w:val="0000FF"/>
      <w:u w:val="single"/>
    </w:rPr>
  </w:style>
  <w:style w:type="character" w:styleId="CitaHTML">
    <w:name w:val="HTML Cite"/>
    <w:basedOn w:val="Fuentedeprrafopredeter"/>
    <w:uiPriority w:val="99"/>
    <w:semiHidden/>
    <w:unhideWhenUsed/>
    <w:rsid w:val="00282FD9"/>
    <w:rPr>
      <w:i/>
      <w:iCs/>
    </w:rPr>
  </w:style>
  <w:style w:type="paragraph" w:customStyle="1" w:styleId="action-menu-item">
    <w:name w:val="action-menu-item"/>
    <w:basedOn w:val="Normal"/>
    <w:rsid w:val="00282FD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282FD9"/>
    <w:rPr>
      <w:color w:val="605E5C"/>
      <w:shd w:val="clear" w:color="auto" w:fill="E1DFDD"/>
    </w:rPr>
  </w:style>
  <w:style w:type="paragraph" w:customStyle="1" w:styleId="Default">
    <w:name w:val="Default"/>
    <w:rsid w:val="002079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07087">
      <w:bodyDiv w:val="1"/>
      <w:marLeft w:val="0"/>
      <w:marRight w:val="0"/>
      <w:marTop w:val="0"/>
      <w:marBottom w:val="0"/>
      <w:divBdr>
        <w:top w:val="none" w:sz="0" w:space="0" w:color="auto"/>
        <w:left w:val="none" w:sz="0" w:space="0" w:color="auto"/>
        <w:bottom w:val="none" w:sz="0" w:space="0" w:color="auto"/>
        <w:right w:val="none" w:sz="0" w:space="0" w:color="auto"/>
      </w:divBdr>
    </w:div>
    <w:div w:id="846601914">
      <w:bodyDiv w:val="1"/>
      <w:marLeft w:val="0"/>
      <w:marRight w:val="0"/>
      <w:marTop w:val="0"/>
      <w:marBottom w:val="0"/>
      <w:divBdr>
        <w:top w:val="none" w:sz="0" w:space="0" w:color="auto"/>
        <w:left w:val="none" w:sz="0" w:space="0" w:color="auto"/>
        <w:bottom w:val="none" w:sz="0" w:space="0" w:color="auto"/>
        <w:right w:val="none" w:sz="0" w:space="0" w:color="auto"/>
      </w:divBdr>
    </w:div>
    <w:div w:id="886454561">
      <w:bodyDiv w:val="1"/>
      <w:marLeft w:val="0"/>
      <w:marRight w:val="0"/>
      <w:marTop w:val="0"/>
      <w:marBottom w:val="0"/>
      <w:divBdr>
        <w:top w:val="none" w:sz="0" w:space="0" w:color="auto"/>
        <w:left w:val="none" w:sz="0" w:space="0" w:color="auto"/>
        <w:bottom w:val="none" w:sz="0" w:space="0" w:color="auto"/>
        <w:right w:val="none" w:sz="0" w:space="0" w:color="auto"/>
      </w:divBdr>
      <w:divsChild>
        <w:div w:id="1684474746">
          <w:marLeft w:val="0"/>
          <w:marRight w:val="0"/>
          <w:marTop w:val="0"/>
          <w:marBottom w:val="0"/>
          <w:divBdr>
            <w:top w:val="none" w:sz="0" w:space="0" w:color="auto"/>
            <w:left w:val="none" w:sz="0" w:space="0" w:color="auto"/>
            <w:bottom w:val="none" w:sz="0" w:space="0" w:color="auto"/>
            <w:right w:val="none" w:sz="0" w:space="0" w:color="auto"/>
          </w:divBdr>
        </w:div>
        <w:div w:id="1644387171">
          <w:marLeft w:val="0"/>
          <w:marRight w:val="0"/>
          <w:marTop w:val="0"/>
          <w:marBottom w:val="0"/>
          <w:divBdr>
            <w:top w:val="none" w:sz="0" w:space="0" w:color="auto"/>
            <w:left w:val="none" w:sz="0" w:space="0" w:color="auto"/>
            <w:bottom w:val="none" w:sz="0" w:space="0" w:color="auto"/>
            <w:right w:val="none" w:sz="0" w:space="0" w:color="auto"/>
          </w:divBdr>
        </w:div>
        <w:div w:id="2050379310">
          <w:marLeft w:val="0"/>
          <w:marRight w:val="0"/>
          <w:marTop w:val="0"/>
          <w:marBottom w:val="0"/>
          <w:divBdr>
            <w:top w:val="none" w:sz="0" w:space="0" w:color="auto"/>
            <w:left w:val="none" w:sz="0" w:space="0" w:color="auto"/>
            <w:bottom w:val="none" w:sz="0" w:space="0" w:color="auto"/>
            <w:right w:val="none" w:sz="0" w:space="0" w:color="auto"/>
          </w:divBdr>
        </w:div>
        <w:div w:id="1203634225">
          <w:marLeft w:val="0"/>
          <w:marRight w:val="0"/>
          <w:marTop w:val="0"/>
          <w:marBottom w:val="0"/>
          <w:divBdr>
            <w:top w:val="none" w:sz="0" w:space="0" w:color="auto"/>
            <w:left w:val="none" w:sz="0" w:space="0" w:color="auto"/>
            <w:bottom w:val="none" w:sz="0" w:space="0" w:color="auto"/>
            <w:right w:val="none" w:sz="0" w:space="0" w:color="auto"/>
          </w:divBdr>
        </w:div>
        <w:div w:id="1746687921">
          <w:marLeft w:val="0"/>
          <w:marRight w:val="0"/>
          <w:marTop w:val="0"/>
          <w:marBottom w:val="0"/>
          <w:divBdr>
            <w:top w:val="none" w:sz="0" w:space="0" w:color="auto"/>
            <w:left w:val="none" w:sz="0" w:space="0" w:color="auto"/>
            <w:bottom w:val="none" w:sz="0" w:space="0" w:color="auto"/>
            <w:right w:val="none" w:sz="0" w:space="0" w:color="auto"/>
          </w:divBdr>
        </w:div>
        <w:div w:id="922104627">
          <w:marLeft w:val="0"/>
          <w:marRight w:val="0"/>
          <w:marTop w:val="0"/>
          <w:marBottom w:val="0"/>
          <w:divBdr>
            <w:top w:val="none" w:sz="0" w:space="0" w:color="auto"/>
            <w:left w:val="none" w:sz="0" w:space="0" w:color="auto"/>
            <w:bottom w:val="none" w:sz="0" w:space="0" w:color="auto"/>
            <w:right w:val="none" w:sz="0" w:space="0" w:color="auto"/>
          </w:divBdr>
        </w:div>
        <w:div w:id="985551279">
          <w:marLeft w:val="0"/>
          <w:marRight w:val="0"/>
          <w:marTop w:val="0"/>
          <w:marBottom w:val="0"/>
          <w:divBdr>
            <w:top w:val="none" w:sz="0" w:space="0" w:color="auto"/>
            <w:left w:val="none" w:sz="0" w:space="0" w:color="auto"/>
            <w:bottom w:val="none" w:sz="0" w:space="0" w:color="auto"/>
            <w:right w:val="none" w:sz="0" w:space="0" w:color="auto"/>
          </w:divBdr>
        </w:div>
      </w:divsChild>
    </w:div>
    <w:div w:id="947003233">
      <w:bodyDiv w:val="1"/>
      <w:marLeft w:val="0"/>
      <w:marRight w:val="0"/>
      <w:marTop w:val="0"/>
      <w:marBottom w:val="0"/>
      <w:divBdr>
        <w:top w:val="none" w:sz="0" w:space="0" w:color="auto"/>
        <w:left w:val="none" w:sz="0" w:space="0" w:color="auto"/>
        <w:bottom w:val="none" w:sz="0" w:space="0" w:color="auto"/>
        <w:right w:val="none" w:sz="0" w:space="0" w:color="auto"/>
      </w:divBdr>
    </w:div>
    <w:div w:id="1458449005">
      <w:bodyDiv w:val="1"/>
      <w:marLeft w:val="0"/>
      <w:marRight w:val="0"/>
      <w:marTop w:val="0"/>
      <w:marBottom w:val="0"/>
      <w:divBdr>
        <w:top w:val="none" w:sz="0" w:space="0" w:color="auto"/>
        <w:left w:val="none" w:sz="0" w:space="0" w:color="auto"/>
        <w:bottom w:val="none" w:sz="0" w:space="0" w:color="auto"/>
        <w:right w:val="none" w:sz="0" w:space="0" w:color="auto"/>
      </w:divBdr>
      <w:divsChild>
        <w:div w:id="455441842">
          <w:marLeft w:val="0"/>
          <w:marRight w:val="0"/>
          <w:marTop w:val="0"/>
          <w:marBottom w:val="0"/>
          <w:divBdr>
            <w:top w:val="none" w:sz="0" w:space="0" w:color="auto"/>
            <w:left w:val="none" w:sz="0" w:space="0" w:color="auto"/>
            <w:bottom w:val="none" w:sz="0" w:space="0" w:color="auto"/>
            <w:right w:val="none" w:sz="0" w:space="0" w:color="auto"/>
          </w:divBdr>
        </w:div>
        <w:div w:id="865942217">
          <w:marLeft w:val="45"/>
          <w:marRight w:val="45"/>
          <w:marTop w:val="15"/>
          <w:marBottom w:val="0"/>
          <w:divBdr>
            <w:top w:val="none" w:sz="0" w:space="0" w:color="auto"/>
            <w:left w:val="none" w:sz="0" w:space="0" w:color="auto"/>
            <w:bottom w:val="none" w:sz="0" w:space="0" w:color="auto"/>
            <w:right w:val="none" w:sz="0" w:space="0" w:color="auto"/>
          </w:divBdr>
          <w:divsChild>
            <w:div w:id="11696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69729">
      <w:bodyDiv w:val="1"/>
      <w:marLeft w:val="0"/>
      <w:marRight w:val="0"/>
      <w:marTop w:val="0"/>
      <w:marBottom w:val="0"/>
      <w:divBdr>
        <w:top w:val="none" w:sz="0" w:space="0" w:color="auto"/>
        <w:left w:val="none" w:sz="0" w:space="0" w:color="auto"/>
        <w:bottom w:val="none" w:sz="0" w:space="0" w:color="auto"/>
        <w:right w:val="none" w:sz="0" w:space="0" w:color="auto"/>
      </w:divBdr>
    </w:div>
    <w:div w:id="1915166074">
      <w:bodyDiv w:val="1"/>
      <w:marLeft w:val="0"/>
      <w:marRight w:val="0"/>
      <w:marTop w:val="0"/>
      <w:marBottom w:val="0"/>
      <w:divBdr>
        <w:top w:val="none" w:sz="0" w:space="0" w:color="auto"/>
        <w:left w:val="none" w:sz="0" w:space="0" w:color="auto"/>
        <w:bottom w:val="none" w:sz="0" w:space="0" w:color="auto"/>
        <w:right w:val="none" w:sz="0" w:space="0" w:color="auto"/>
      </w:divBdr>
    </w:div>
    <w:div w:id="1926987073">
      <w:bodyDiv w:val="1"/>
      <w:marLeft w:val="0"/>
      <w:marRight w:val="0"/>
      <w:marTop w:val="0"/>
      <w:marBottom w:val="0"/>
      <w:divBdr>
        <w:top w:val="none" w:sz="0" w:space="0" w:color="auto"/>
        <w:left w:val="none" w:sz="0" w:space="0" w:color="auto"/>
        <w:bottom w:val="none" w:sz="0" w:space="0" w:color="auto"/>
        <w:right w:val="none" w:sz="0" w:space="0" w:color="auto"/>
      </w:divBdr>
    </w:div>
    <w:div w:id="2087728251">
      <w:bodyDiv w:val="1"/>
      <w:marLeft w:val="0"/>
      <w:marRight w:val="0"/>
      <w:marTop w:val="0"/>
      <w:marBottom w:val="0"/>
      <w:divBdr>
        <w:top w:val="none" w:sz="0" w:space="0" w:color="auto"/>
        <w:left w:val="none" w:sz="0" w:space="0" w:color="auto"/>
        <w:bottom w:val="none" w:sz="0" w:space="0" w:color="auto"/>
        <w:right w:val="none" w:sz="0" w:space="0" w:color="auto"/>
      </w:divBdr>
    </w:div>
    <w:div w:id="21158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sp-projec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7A16F-EE5A-4DDE-9CAF-8F42B3F2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1659</Words>
  <Characters>9129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Merchan</dc:creator>
  <cp:lastModifiedBy>Mauricio Lozada</cp:lastModifiedBy>
  <cp:revision>4</cp:revision>
  <dcterms:created xsi:type="dcterms:W3CDTF">2019-09-13T21:47:00Z</dcterms:created>
  <dcterms:modified xsi:type="dcterms:W3CDTF">2019-09-18T18:57:00Z</dcterms:modified>
</cp:coreProperties>
</file>